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mc:AlternateContent>
          <mc:Choice Requires="wps">
            <w:drawing>
              <wp:anchor behindDoc="0" distT="5080" distB="5715" distL="5715" distR="4445" simplePos="0" locked="0" layoutInCell="1" allowOverlap="1" relativeHeight="69">
                <wp:simplePos x="0" y="0"/>
                <wp:positionH relativeFrom="column">
                  <wp:posOffset>1699260</wp:posOffset>
                </wp:positionH>
                <wp:positionV relativeFrom="paragraph">
                  <wp:posOffset>-433070</wp:posOffset>
                </wp:positionV>
                <wp:extent cx="2172335" cy="396875"/>
                <wp:effectExtent l="5715" t="5080" r="4445" b="5715"/>
                <wp:wrapNone/>
                <wp:docPr id="1" name="Pictur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2240" cy="396720"/>
                        </a:xfrm>
                        <a:custGeom>
                          <a:avLst/>
                          <a:gdLst>
                            <a:gd name="textAreaLeft" fmla="*/ 0 w 1231560"/>
                            <a:gd name="textAreaRight" fmla="*/ 1236240 w 1231560"/>
                            <a:gd name="textAreaTop" fmla="*/ 0 h 225000"/>
                            <a:gd name="textAreaBottom" fmla="*/ 229680 h 2250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"/>
                              <w:rPr>
                                <w:color w:val="000000"/>
                                <w:spacing w:val="0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</w:rPr>
                            </w:r>
                          </w:p>
                          <w:p>
                            <w:pPr>
                              <w:pStyle w:val="Normal"/>
                              <w:rPr>
                                <w:color w:val="000000"/>
                                <w:spacing w:val="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w:t xml:space="preserve"> </w:t>
      </w:r>
      <w:r>
        <w:rPr/>
        <w:tab/>
        <w:tab/>
        <w:tab/>
        <w:tab/>
        <w:tab/>
        <w:tab/>
        <w:tab/>
      </w:r>
      <w:bookmarkStart w:id="0" w:name="sub_1000"/>
      <w:r>
        <mc:AlternateContent>
          <mc:Choice Requires="wps">
            <w:drawing>
              <wp:anchor behindDoc="0" distT="12700" distB="12700" distL="13335" distR="12065" simplePos="0" locked="0" layoutInCell="1" allowOverlap="1" relativeHeight="71">
                <wp:simplePos x="0" y="0"/>
                <wp:positionH relativeFrom="column">
                  <wp:posOffset>3612515</wp:posOffset>
                </wp:positionH>
                <wp:positionV relativeFrom="page">
                  <wp:posOffset>415925</wp:posOffset>
                </wp:positionV>
                <wp:extent cx="1842135" cy="2231390"/>
                <wp:effectExtent l="13335" t="12700" r="12065" b="12700"/>
                <wp:wrapNone/>
                <wp:docPr id="2" name="Pictur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2120" cy="22312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"/>
                              <w:widowControl/>
                              <w:jc w:val="center"/>
                              <w:rPr>
                                <w:rFonts w:ascii="Calibri" w:hAnsi="Calibri" w:asciiTheme="minorAscii" w:hAnsiTheme="minorHAnsi"/>
                                <w:color w:themeColor="background1" w:val="FFFFFF"/>
                                <w:spacing w:val="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90000" rIns="90000" tIns="47160" bIns="471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Picture 4" path="m0,0l-2147483645,0l-2147483645,-2147483646l0,-2147483646xe" fillcolor="white" stroked="t" o:allowincell="f" style="position:absolute;margin-left:284.45pt;margin-top:32.75pt;width:145pt;height:175.65pt;mso-wrap-style:none;v-text-anchor:middle;mso-position-vertical-relative:page">
                <v:fill o:detectmouseclick="t" type="solid" color2="black"/>
                <v:stroke color="white" weight="25560" joinstyle="round" endcap="flat"/>
                <v:textbox>
                  <w:txbxContent>
                    <w:p>
                      <w:pPr>
                        <w:pStyle w:val="Normal"/>
                        <w:widowControl/>
                        <w:jc w:val="center"/>
                        <w:rPr>
                          <w:rFonts w:ascii="Calibri" w:hAnsi="Calibri" w:asciiTheme="minorAscii" w:hAnsiTheme="minorHAnsi"/>
                          <w:color w:themeColor="background1" w:val="FFFFFF"/>
                          <w:spacing w:val="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5715" distB="5080" distL="5715" distR="5080" simplePos="0" locked="0" layoutInCell="1" allowOverlap="1" relativeHeight="73">
                <wp:simplePos x="0" y="0"/>
                <wp:positionH relativeFrom="column">
                  <wp:posOffset>6116320</wp:posOffset>
                </wp:positionH>
                <wp:positionV relativeFrom="page">
                  <wp:posOffset>952500</wp:posOffset>
                </wp:positionV>
                <wp:extent cx="2853055" cy="2036445"/>
                <wp:effectExtent l="5715" t="5715" r="5080" b="5080"/>
                <wp:wrapNone/>
                <wp:docPr id="3" name="Picture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3000" cy="2036520"/>
                        </a:xfrm>
                        <a:custGeom>
                          <a:avLst/>
                          <a:gdLst>
                            <a:gd name="textAreaLeft" fmla="*/ 0 w 1617480"/>
                            <a:gd name="textAreaRight" fmla="*/ 1622160 w 1617480"/>
                            <a:gd name="textAreaTop" fmla="*/ 0 h 1154520"/>
                            <a:gd name="textAreaBottom" fmla="*/ 1159200 h 11545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"/>
                              <w:widowControl/>
                              <w:ind w:hanging="0" w:left="0" w:right="0"/>
                              <w:jc w:val="left"/>
                              <w:rPr>
                                <w:rFonts w:ascii="Times New Roman" w:hAnsi="Times New Roman"/>
                                <w:color w:val="000000"/>
                                <w:spacing w:val="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0"/>
                                <w:sz w:val="28"/>
                              </w:rPr>
                              <w:t>Приложение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ind w:hanging="0" w:left="0" w:right="0"/>
                              <w:jc w:val="left"/>
                              <w:rPr>
                                <w:rFonts w:ascii="Times New Roman" w:hAnsi="Times New Roman"/>
                                <w:color w:val="000000"/>
                                <w:spacing w:val="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0"/>
                                <w:sz w:val="28"/>
                              </w:rPr>
                            </w:r>
                          </w:p>
                          <w:p>
                            <w:pPr>
                              <w:pStyle w:val="Normal"/>
                              <w:widowControl/>
                              <w:ind w:hanging="0" w:left="0" w:right="0"/>
                              <w:jc w:val="left"/>
                              <w:rPr>
                                <w:rFonts w:ascii="Times New Roman" w:hAnsi="Times New Roman"/>
                                <w:color w:val="000000"/>
                                <w:spacing w:val="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0"/>
                                <w:sz w:val="28"/>
                              </w:rPr>
                              <w:t>УТВЕРЖДЕНА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ind w:hanging="0" w:left="0" w:right="0"/>
                              <w:jc w:val="left"/>
                              <w:rPr>
                                <w:rFonts w:ascii="Times New Roman" w:hAnsi="Times New Roman"/>
                                <w:color w:val="000000"/>
                                <w:spacing w:val="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0"/>
                                <w:sz w:val="28"/>
                              </w:rPr>
                              <w:t>постановлением администрации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ind w:hanging="0" w:left="0" w:right="0"/>
                              <w:jc w:val="left"/>
                              <w:rPr>
                                <w:rFonts w:ascii="Times New Roman" w:hAnsi="Times New Roman"/>
                                <w:color w:val="000000"/>
                                <w:spacing w:val="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0"/>
                                <w:sz w:val="28"/>
                              </w:rPr>
                              <w:t>муниципального образования Северский муниципальный район Краснодарского края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ind w:hanging="0" w:left="0" w:right="0"/>
                              <w:jc w:val="left"/>
                              <w:rPr>
                                <w:color w:val="000000"/>
                                <w:spacing w:val="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0"/>
                                <w:sz w:val="28"/>
                              </w:rPr>
                              <w:t>от _________ года № ________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ab/>
      </w:r>
    </w:p>
    <w:p>
      <w:pPr>
        <w:pStyle w:val="Normal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</w:t>
      </w:r>
      <w:bookmarkEnd w:id="0"/>
      <w:r>
        <w:rPr>
          <w:rFonts w:ascii="Times New Roman" w:hAnsi="Times New Roman"/>
          <w:b/>
          <w:sz w:val="28"/>
        </w:rPr>
        <w:t xml:space="preserve">униципальная программа </w:t>
      </w:r>
    </w:p>
    <w:p>
      <w:pPr>
        <w:pStyle w:val="Normal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«Информатизация  Северского района»</w:t>
      </w:r>
    </w:p>
    <w:p>
      <w:pPr>
        <w:pStyle w:val="Normal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ПАСПОРТ</w:t>
      </w:r>
    </w:p>
    <w:p>
      <w:pPr>
        <w:pStyle w:val="Normal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муниципальной программы «Информатизация С</w:t>
      </w:r>
      <w:bookmarkStart w:id="1" w:name="sub_100"/>
      <w:r>
        <w:rPr>
          <w:rFonts w:ascii="Times New Roman" w:hAnsi="Times New Roman"/>
          <w:b/>
          <w:sz w:val="28"/>
        </w:rPr>
        <w:t>еверского района»</w:t>
      </w:r>
      <w:bookmarkEnd w:id="1"/>
    </w:p>
    <w:p>
      <w:pPr>
        <w:pStyle w:val="Normal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tbl>
      <w:tblPr>
        <w:tblStyle w:val="Style_3"/>
        <w:tblW w:w="1403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6"/>
        <w:gridCol w:w="8450"/>
      </w:tblGrid>
      <w:tr>
        <w:trPr/>
        <w:tc>
          <w:tcPr>
            <w:tcW w:w="5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120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Наименование муниципальной программы</w:t>
            </w:r>
          </w:p>
        </w:tc>
        <w:tc>
          <w:tcPr>
            <w:tcW w:w="8450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1124"/>
              <w:widowControl/>
              <w:suppressAutoHyphens w:val="true"/>
              <w:spacing w:lineRule="auto" w:line="240" w:before="0" w:after="0"/>
              <w:ind w:hanging="0" w:left="0" w:right="0"/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Информатизация  Северского района (далее - Программа)</w:t>
            </w:r>
          </w:p>
        </w:tc>
      </w:tr>
      <w:tr>
        <w:trPr/>
        <w:tc>
          <w:tcPr>
            <w:tcW w:w="5586" w:type="dxa"/>
            <w:tcBorders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20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bookmarkStart w:id="2" w:name="sub_102"/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Координатор </w:t>
            </w:r>
            <w:bookmarkEnd w:id="2"/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муниципальной программы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24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управление информатизации и информационной безопасности администрации муниципального образования Северский муниципальный район Краснодарского края</w:t>
            </w:r>
          </w:p>
        </w:tc>
      </w:tr>
      <w:tr>
        <w:trPr/>
        <w:tc>
          <w:tcPr>
            <w:tcW w:w="5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20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Подпрограммы муниципальной программы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не предусмотрены</w:t>
            </w:r>
          </w:p>
        </w:tc>
      </w:tr>
      <w:tr>
        <w:trPr/>
        <w:tc>
          <w:tcPr>
            <w:tcW w:w="5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20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Координаторы подпрограммы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112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не предусмотрены</w:t>
            </w:r>
          </w:p>
        </w:tc>
      </w:tr>
      <w:tr>
        <w:trPr/>
        <w:tc>
          <w:tcPr>
            <w:tcW w:w="5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20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Иные исполнители отдельных мероприятий муниципальной программы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не предусмотрены</w:t>
            </w:r>
          </w:p>
        </w:tc>
      </w:tr>
      <w:tr>
        <w:trPr/>
        <w:tc>
          <w:tcPr>
            <w:tcW w:w="558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120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Цель муниципальной программы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Организация эффективной деятельности администрации муниципального образования Северский муниципальный район Краснодарского края (далее - администрация) за счет автоматизации рабочего процесса, модернизации информационно-телекоммуникационной инфраструктуры администрации с использованием современных информационных, телекоммуникационных, цифровых технологий, а также сервисов информационной безопасности</w:t>
            </w:r>
          </w:p>
        </w:tc>
      </w:tr>
      <w:tr>
        <w:trPr/>
        <w:tc>
          <w:tcPr>
            <w:tcW w:w="5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20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Задачи муниципальной программы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- поддержка и развитие официального Интернет-портала администрации;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- модернизация информационно-телекоммуникационной инфраструктуры администрации, создание условий для развития и совершенствования инфраструктуры администрации;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- внедрение и развитие существующих сервисов электронного взаимодействия органов власти различных уровней в администрации, в том числе, в сфере предоставления муниципальных услуг;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- обеспечение администрации необходимыми программными продуктами и системами, организация и обеспечение работоспособности сети обмена данными между структурными подразделениями администрации и органами исполнительной власти;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- обеспечение информационной безопасности информационных ресурсов в сети и обеспечение защиты персональных данных;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 xml:space="preserve">– </w:t>
            </w: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аттестация и переаттестация объектов информатизации по требованиям безопасности информации, техническое сопровождение и контроль эффективности средств защиты информации на защищаемых объектах информатизации.</w:t>
            </w:r>
          </w:p>
        </w:tc>
      </w:tr>
      <w:tr>
        <w:trPr/>
        <w:tc>
          <w:tcPr>
            <w:tcW w:w="558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120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Перечень целевых показателей муниципальной программы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- доля автоматизированных рабочих мест администрации, обеспеченных базовым комплектом лицензионных программных продуктов российского производства;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- доля структурных подразделений администрации, обеспеченных доступом к информационным системам;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- доля работников администрации, обеспеченных базовым комплектом работоспособной оргтехники и компьютерного оборудования;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- доля замененной и отремонтированной компьютерной и оргтехники из общего количества нуждающейся в замене;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- обеспеченность расходными материалами компьютерной и оргтехники структурных подразделений администрации;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- доля структурных подразделений администрации, обеспеченных средствами связи и скоростным Интернетом;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- обеспеченность структурных подразделений администрации электронным документооборотом;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- охват мерами защиты информации информационно-технических ресурсов и коммуникаций администрации;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- доля аттестованных рабочих мест в соответствии с требованиями по технической защите информации, содержащей сведения, не составляющих государственную тайну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</w:tr>
      <w:tr>
        <w:trPr>
          <w:trHeight w:val="719" w:hRule="atLeast"/>
        </w:trPr>
        <w:tc>
          <w:tcPr>
            <w:tcW w:w="5586" w:type="dxa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1120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Этапы и сроки реализации муниципальной программы</w:t>
            </w:r>
          </w:p>
        </w:tc>
        <w:tc>
          <w:tcPr>
            <w:tcW w:w="8450" w:type="dxa"/>
            <w:tcBorders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112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2027- 2032 годы, этапы не предусмотрены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</w:tr>
      <w:tr>
        <w:trPr/>
        <w:tc>
          <w:tcPr>
            <w:tcW w:w="5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20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Объемы и источники финансирования муниципальной программы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2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общий объем финансирования Программы 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highlight w:val="white"/>
              </w:rPr>
              <w:t>49635,3</w:t>
            </w:r>
            <w:r>
              <w:rPr>
                <w:rFonts w:ascii="Times New Roman" w:hAnsi="Times New Roman"/>
                <w:color w:val="FF4000"/>
                <w:spacing w:val="0"/>
                <w:kern w:val="0"/>
                <w:sz w:val="28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highlight w:val="white"/>
              </w:rPr>
              <w:t>ты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с. рублей, из средств местного бюджета</w:t>
            </w:r>
          </w:p>
          <w:p>
            <w:pPr>
              <w:pStyle w:val="112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из них: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2027 год – 16542,1 тыс. рублей;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2028 год – 16542,1 тыс. рублей;</w:t>
            </w:r>
          </w:p>
          <w:p>
            <w:pPr>
              <w:pStyle w:val="112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highlight w:val="white"/>
              </w:rPr>
              <w:t>2029 год – 16542,1 тыс. рублей;</w:t>
            </w:r>
          </w:p>
          <w:p>
            <w:pPr>
              <w:pStyle w:val="112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2030 год – 0 тыс. рублей;</w:t>
            </w:r>
          </w:p>
          <w:p>
            <w:pPr>
              <w:pStyle w:val="112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2031 год – 0 тыс. рублей;</w:t>
            </w:r>
          </w:p>
          <w:p>
            <w:pPr>
              <w:pStyle w:val="112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2032 год – 0 тыс. рублей.</w:t>
            </w:r>
          </w:p>
        </w:tc>
      </w:tr>
      <w:tr>
        <w:trPr/>
        <w:tc>
          <w:tcPr>
            <w:tcW w:w="558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120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Контроль за выполнением муниципальной программы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124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контроль за выполнением Программы осуществляют администрация и Совет муниципального образования Северский муниципальный район Краснодарского края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jc w:val="center"/>
        <w:rPr/>
      </w:pPr>
      <w:bookmarkStart w:id="3" w:name="sub_1100"/>
      <w:bookmarkEnd w:id="3"/>
      <w:r>
        <w:rPr>
          <w:rFonts w:ascii="Times New Roman" w:hAnsi="Times New Roman"/>
          <w:b/>
          <w:sz w:val="28"/>
        </w:rPr>
        <w:t>1. Характеристика текущего состояния и основные проблемы в сфере</w:t>
      </w:r>
    </w:p>
    <w:p>
      <w:pPr>
        <w:pStyle w:val="Normal"/>
        <w:widowControl/>
        <w:jc w:val="center"/>
        <w:rPr/>
      </w:pP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реализации Программы</w:t>
      </w:r>
    </w:p>
    <w:p>
      <w:pPr>
        <w:pStyle w:val="Normal"/>
        <w:widowControl/>
        <w:jc w:val="center"/>
        <w:rPr/>
      </w:pPr>
      <w:r>
        <w:rPr/>
      </w:r>
    </w:p>
    <w:p>
      <w:pPr>
        <w:pStyle w:val="Normal"/>
        <w:widowControl/>
        <w:jc w:val="center"/>
        <w:rPr/>
      </w:pPr>
      <w:r>
        <w:rPr/>
      </w:r>
    </w:p>
    <w:p>
      <w:pPr>
        <w:pStyle w:val="Normal"/>
        <w:rPr>
          <w:rFonts w:ascii="Times New Roman" w:hAnsi="Times New Roman"/>
          <w:color w:val="040404"/>
          <w:sz w:val="28"/>
        </w:rPr>
      </w:pPr>
      <w:r>
        <w:rPr>
          <w:rFonts w:ascii="Times New Roman" w:hAnsi="Times New Roman"/>
          <w:color w:val="040404"/>
          <w:sz w:val="28"/>
        </w:rPr>
        <w:t>Современные тенденции развития человечества приводят к постепенному переходу от индустриального общества к информационному, в котором научное знание и информация становятся определяющими факторами для развития социально-экономической, политической и культурной сфер жизни людей. Необходимым условием построения информационного общества является процесс информатизации, означающий широкомасштабное применение информационных технологий (далее - ИТ) для удовлетворения информационных и коммуникационных потребностей граждан, организаций, органов местного самоуправления.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Развитие информатизации администрации направлено на реализацию целей и задач, поставленных следующими нормативно-правовыми актами: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Стратегия развития информационного общества в Российской Федерации (утверждена Президентом Российской Федерации 07 февраля 2008 года № Пр-212);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Указ Президента Российской Федерации от 07 мая 2012 года № 601 «Об основных направлениях совершенствования системы государственного управления»</w:t>
      </w:r>
      <w:r>
        <w:rPr>
          <w:rFonts w:ascii="Times New Roman" w:hAnsi="Times New Roman"/>
          <w:color w:val="040404"/>
          <w:sz w:val="28"/>
        </w:rPr>
        <w:t xml:space="preserve">; </w:t>
      </w:r>
    </w:p>
    <w:p>
      <w:pPr>
        <w:pStyle w:val="Normal"/>
        <w:widowControl/>
        <w:ind w:firstLine="709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40404"/>
          <w:sz w:val="28"/>
        </w:rPr>
        <w:t xml:space="preserve">- Указ Президента Российской Федерации от 7 мая 2024 года № 309 "О национальных целях развития Российской Федерации на период до 2030 года и на перспективу до 2036 года"; 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40404"/>
          <w:sz w:val="28"/>
        </w:rPr>
        <w:t>- Постановление Правительства РФ от 15 апреля 2014 года № 313 «Об утверждении государственной программы Российской Федерации "Информационное общество»;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Федеральный закон от 06 октября 2003 года № 131-ФЗ «Об общих принципах организации местного самоуправления»;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Федеральный закон от 27 июля 2006 года № 149-ФЗ «Об информации, информационных технологиях и о защите информации»;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Федеральный закон от 27 июля 2006 года № 152-ФЗ «О персональных данных»;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Федеральный закон от 09 февраля 2009 года № 8-ФЗ «Об обеспечении доступа к информации о деятельности государственных органов и органов местного самоуправления»;</w:t>
      </w:r>
    </w:p>
    <w:p>
      <w:pPr>
        <w:pStyle w:val="Normal"/>
        <w:widowControl/>
        <w:numPr>
          <w:ilvl w:val="0"/>
          <w:numId w:val="1"/>
        </w:numPr>
        <w:ind w:firstLine="567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40404"/>
          <w:sz w:val="28"/>
        </w:rPr>
        <w:t>Закон Краснодарского края от 21 декабря 218 года №3990-КЗ «Об утверждении стратегии экономического развития Краснодарского края до 2030 года</w:t>
      </w:r>
      <w:r>
        <w:rPr>
          <w:rFonts w:ascii="Times New Roman" w:hAnsi="Times New Roman"/>
          <w:sz w:val="28"/>
        </w:rPr>
        <w:t>».</w:t>
      </w:r>
    </w:p>
    <w:p>
      <w:pPr>
        <w:pStyle w:val="Normal"/>
        <w:rPr>
          <w:rFonts w:ascii="Times New Roman" w:hAnsi="Times New Roman"/>
          <w:color w:val="040404"/>
          <w:sz w:val="28"/>
          <w:highlight w:val="white"/>
        </w:rPr>
      </w:pPr>
      <w:r>
        <w:rPr>
          <w:rFonts w:ascii="Times New Roman" w:hAnsi="Times New Roman"/>
          <w:color w:val="040404"/>
          <w:sz w:val="28"/>
        </w:rPr>
        <w:t>Важным направлением повышения эффективности и результативности деятельности администрации является расширение практики использования современных ИТ, организации эффективной деятельности администрации за счет автоматизации рабочего процесса, модернизации информационно-телекоммуникационной инфраструктуры администрации с использованием современных информационных, телекоммуникационных, цифровых технологий, а также сервисов информационной безопасности. Указанная цель может быть достигнута за счет эффективного использования ИТ, обеспечения 100% использования муниципальными служащими электронного документооборота (далее - ЭДО), поддержания высокого уровня использования всех возможностей ЭДО, сокращения сроков назначения поручений по служебной корреспонденции и доведения их до исполнителей, сокращения сроков согласования правовых актов администрации, повышения уровня бесперебойности в работе муниципальных информационных систем и ресурсов, автоматизированных рабочих мест администрации, что существенно ускорит процесс подготовки и принятия управленческих решений, повышения надежности доступа в сеть Интернет; повышения надежности работы систем и средств информационной безопасности. Все мероприятия, выполняемые в рамках Программы выполняются исключительно для администрации.</w:t>
      </w:r>
    </w:p>
    <w:p>
      <w:pPr>
        <w:pStyle w:val="Normal"/>
        <w:rPr>
          <w:rFonts w:ascii="Times New Roman" w:hAnsi="Times New Roman"/>
          <w:color w:val="040404"/>
          <w:sz w:val="28"/>
        </w:rPr>
      </w:pPr>
      <w:r>
        <w:rPr>
          <w:rFonts w:ascii="Times New Roman" w:hAnsi="Times New Roman"/>
          <w:color w:val="040404"/>
          <w:sz w:val="28"/>
          <w:highlight w:val="white"/>
        </w:rPr>
        <w:t>За последние два года 2024-2025 годы в связи с увеличением нагрузки в виде увеличения пользователей сети, количества информационных систем, информационных потоков, появилась потребность в модернизации облачных ресурсов внутри информационного пространства администрации, необходимость создания дополнительных хранилищ для создания резервных копий самих серверов и архивов информации, которые необходимы для восстановления информации при возникновении критических ситуаций. Имеющееся оборудование систем обработки данных и хранения данных, систем обеспечения резервного, включая аварийного питания, не является достаточным для осуществления качественного обслуживания серверного оборудования и сетевой инфраструктуры. При этом, запланированные на год бюджетные средства муниципальной программы не обеспечивают в полном объеме потребность для решения глобальных первостепенных задач.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40404"/>
          <w:sz w:val="28"/>
        </w:rPr>
        <w:t>Кроме того, на муниципальном уровне часто приходится сталкиваться с проблемами фрагментации данных, несовместимостью технических решений и отсутствием единых стандартов информационного обмена. Особую сложность представляет обеспечение технологической связанности сельских поселений и отдалённых территорий, где ограничены возможности доступа к высокоскоростному Интернету и современным цифровым сервисам. Внедрение систем электронного документооборота частично решает эти проблемы, автоматизируя процессы обработки данных и обеспечивая надёжность хранения информации, однако их адаптация к местной специфике требует существенных доработок.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проблемы – это разнородность информационных систем и разрозненность информационных ресурсов, отсутствие единого информационного пространства и механизмов обеспечения взаимодействия, недостаток технического персонала по обслуживанию компьютерной техники и локально-вычислительных сетей.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Необходимо отметить ряд проблем, касающихся развития информационно-коммуникационной среды, влияющих на ее дальнейшее успешное развитие: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интенсивное развитие информационно-коммуникационных технологий, их внедрение требует новых подходов к обеспечению информационной безопасности;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интенсивное развитие и внедрение новых информационных систем требует установки более производительных серверов.</w:t>
      </w:r>
    </w:p>
    <w:p>
      <w:pPr>
        <w:pStyle w:val="Normal"/>
        <w:widowControl/>
        <w:ind w:firstLine="851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Одной из важных задач информатизации является обеспечение требуемого уровня информированности населения. Этот уровень определяется полнотой, точностью, достоверностью и своевременностью предоставления информации, необходимой каждому человеку в процессе выполнения им всех общественно значимых видов деятельности.</w:t>
      </w:r>
    </w:p>
    <w:p>
      <w:pPr>
        <w:pStyle w:val="Normal"/>
        <w:widowControl/>
        <w:ind w:firstLine="851" w:left="0" w:right="0"/>
        <w:rPr>
          <w:rFonts w:ascii="Times New Roman" w:hAnsi="Times New Roman"/>
          <w:color w:val="040404"/>
          <w:sz w:val="28"/>
        </w:rPr>
      </w:pPr>
      <w:r>
        <w:rPr>
          <w:rFonts w:ascii="Times New Roman" w:hAnsi="Times New Roman"/>
          <w:sz w:val="28"/>
        </w:rPr>
        <w:t xml:space="preserve">Важнейшим итогом информационного партнерства администрации и средств массовой информации является значительное увеличение информационного поля, с помощью которого жители Северского района получают объективную картину о деятельности органов местного самоуправления Северского района. Значимым информационным полем получения официальной достоверной и актуальной информации о мероприятиях, проводимых на территории Северского района является официальный сайт администрации. Выросло число пользователей, ежедневно посещающих </w:t>
      </w:r>
      <w:hyperlink r:id="rId2">
        <w:r>
          <w:rPr>
            <w:rStyle w:val="Style4"/>
            <w:rFonts w:ascii="Times New Roman" w:hAnsi="Times New Roman"/>
            <w:color w:val="000000"/>
            <w:sz w:val="28"/>
            <w:u w:val="none"/>
          </w:rPr>
          <w:t>официальный сайт</w:t>
        </w:r>
      </w:hyperlink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администрации. Возросло количество официальных документов, размещенных на официальном сайте администрации, нормативных правовых актов органов местного самоуправления, полезной информации для малого и среднего предпринимательства, новостей и другой достоверной информации для жителей Северского муниципального района Краснодарского края. Таким образом, увеличение количества посещаемости страниц официального сайта свидетельствует о повышении доверия жителей к размещаемой на официальном сайте информации.</w:t>
      </w:r>
    </w:p>
    <w:p>
      <w:pPr>
        <w:pStyle w:val="Normal"/>
        <w:rPr>
          <w:rFonts w:ascii="Times New Roman" w:hAnsi="Times New Roman"/>
          <w:color w:val="040404"/>
          <w:sz w:val="28"/>
        </w:rPr>
      </w:pPr>
      <w:r>
        <w:rPr>
          <w:rFonts w:ascii="Times New Roman" w:hAnsi="Times New Roman"/>
          <w:color w:val="040404"/>
          <w:sz w:val="28"/>
        </w:rPr>
        <w:t xml:space="preserve">Вместе с тем, принимаемые в администрации меры, в том числе меры по адаптации информационной инфраструктуры в соответствии с национальными целями и задачами, утвержденными Указом Президента Российской Федерации </w:t>
      </w:r>
      <w:hyperlink r:id="rId3">
        <w:r>
          <w:rPr>
            <w:rStyle w:val="Style4"/>
            <w:rFonts w:ascii="Times New Roman" w:hAnsi="Times New Roman"/>
            <w:color w:val="040404"/>
            <w:sz w:val="28"/>
            <w:u w:val="none"/>
          </w:rPr>
          <w:t>от 7 мая 2024 года № 309 «О национальных целях развития Российской Федерации на период до 2030 года и на перспективу до 2036 года</w:t>
        </w:r>
      </w:hyperlink>
      <w:r>
        <w:rPr>
          <w:rFonts w:ascii="Times New Roman" w:hAnsi="Times New Roman"/>
          <w:b w:val="false"/>
          <w:color w:val="040404"/>
          <w:sz w:val="28"/>
        </w:rPr>
        <w:t>», постановлением Правительства Российской Федерации от 15 апреля 2014 года № 313 «Об утверждении государственной программы Российской Федерации «Информационное общество» в актуальной редакции от 19 декабря 2025 года</w:t>
      </w:r>
      <w:r>
        <w:rPr>
          <w:rFonts w:ascii="Times New Roman" w:hAnsi="Times New Roman"/>
          <w:color w:val="040404"/>
          <w:sz w:val="28"/>
        </w:rPr>
        <w:t xml:space="preserve"> и стратегией экономического развития Краснодарского края до 2030 года, утвержденной </w:t>
      </w:r>
      <w:hyperlink r:id="rId4">
        <w:r>
          <w:rPr>
            <w:rStyle w:val="Style4"/>
            <w:rFonts w:ascii="Times New Roman" w:hAnsi="Times New Roman"/>
            <w:color w:val="040404"/>
            <w:sz w:val="28"/>
            <w:u w:val="none"/>
          </w:rPr>
          <w:t>Законом Краснодарского края от 21 декабря 2018 года № 3930-КЗ,</w:t>
        </w:r>
      </w:hyperlink>
      <w:r>
        <w:rPr>
          <w:rFonts w:ascii="Times New Roman" w:hAnsi="Times New Roman"/>
          <w:color w:val="040404"/>
          <w:sz w:val="28"/>
        </w:rPr>
        <w:t xml:space="preserve"> позволяют говорить об уже достигнутых результатах, </w:t>
      </w:r>
      <w:r>
        <w:rPr>
          <w:rFonts w:ascii="Times New Roman" w:hAnsi="Times New Roman"/>
          <w:color w:val="040404"/>
          <w:sz w:val="28"/>
          <w:highlight w:val="white"/>
        </w:rPr>
        <w:t xml:space="preserve">накопленном ранее запасе прочности, позволяющем превратить негативные факторы в точки роста. </w:t>
      </w:r>
    </w:p>
    <w:p>
      <w:pPr>
        <w:pStyle w:val="Normal"/>
        <w:rPr>
          <w:rFonts w:ascii="Times New Roman" w:hAnsi="Times New Roman"/>
          <w:color w:val="0A0A0A"/>
          <w:sz w:val="28"/>
        </w:rPr>
      </w:pPr>
      <w:r>
        <w:rPr>
          <w:rFonts w:ascii="Times New Roman" w:hAnsi="Times New Roman"/>
          <w:color w:val="040404"/>
          <w:sz w:val="28"/>
        </w:rPr>
        <w:t xml:space="preserve">Многие проблемные вопросы удалось решить при помощи выполнения мероприятий предыдущей муниципальной программы «Информатизация Северского района на 2020-2028 годы» (далее — муниципальная программа). </w:t>
      </w:r>
      <w:r>
        <w:rPr>
          <w:rFonts w:ascii="Times New Roman" w:hAnsi="Times New Roman"/>
          <w:color w:val="040404"/>
          <w:sz w:val="28"/>
          <w:highlight w:val="white"/>
        </w:rPr>
        <w:t xml:space="preserve">В администрации в 2024 году построена собственная оптическая сеть, объединяющая несколько зданий администрации в единое информационное пространство, развернуты базовые сетевые сервисы и приложения, обеспечен защищенный доступ к государственным и муниципальным информационным системам. </w:t>
      </w:r>
      <w:r>
        <w:rPr>
          <w:rFonts w:ascii="Times New Roman" w:hAnsi="Times New Roman"/>
          <w:color w:val="040404"/>
          <w:sz w:val="28"/>
        </w:rPr>
        <w:t>С помощью муниципальной программы проведено обновление компьютерного оборудования, заменено не менее 40% неисправной оргтехники (многофункциональная техника и принтеры) на рабочих местах, проводилось техническое обслуживание оргтехники и обеспечение ее расходными материалами, закуплены физические серверы, на которых уже развернуты системы виртуализации, в необходимом объеме приобретено необходимое количество лицензионного программного обеспечения национального производителя, системы защиты сетевой инфраструктуры администрации. В полном объеме обеспечивается аппаратный и программный контроль от несанкционированного доступа и контроль за уязвимостями. Проведена аттестация информационной системы администрации, содержащей в своем составе большой перечень разнородных государственных, региональных и муниципальных информационных систем, на соответствие установленной системы защиты информации требованиям защиты информации, предъявляемой к информационным системам администрации законодательством. На ежегодной основе решаются вопросы выполнения требований по стандартизации шаблонов официального Интернет-портала, выполняются требования к импортозамещению программного обеспечения, в том числе, используемого сайтом, требования к безопасности, на сайте внедрены и действуют в полном объеме такие государственные информационные системы, как «Подсистема обратной связи», разработанная Правительством Российской Федерации, баннер которой внедрен также и на сайтах городских и сельских поселений и система электронного документооборота «Виртуальная приемная граждан» с</w:t>
      </w:r>
      <w:hyperlink r:id="rId5">
        <w:r>
          <w:rPr>
            <w:rStyle w:val="Style4"/>
            <w:rFonts w:ascii="Times New Roman" w:hAnsi="Times New Roman"/>
            <w:color w:val="040404"/>
            <w:sz w:val="28"/>
            <w:u w:val="none"/>
          </w:rPr>
          <w:t xml:space="preserve"> использованием формы "Виртуальная приемная"</w:t>
        </w:r>
      </w:hyperlink>
      <w:r>
        <w:rPr>
          <w:rFonts w:ascii="Times New Roman" w:hAnsi="Times New Roman"/>
          <w:color w:val="040404"/>
          <w:sz w:val="28"/>
        </w:rPr>
        <w:t xml:space="preserve"> официального сайта после авторизации через ЕСИА (Госуслуги). Приобретены и используются в работе современные звуковые системы конференцсвязи (переносная и стационарные). Внедрены новые программные комплексы по обработке объемов графической информации, кадрового обеспечения, правовая система, система обработки обращений граждан. Обновлено также оборудование видеоконференцсвязи, позволяющее проводить видеоселекторные совещания с администрацией Краснодарского края в защищенном формате.</w:t>
      </w:r>
    </w:p>
    <w:p>
      <w:pPr>
        <w:pStyle w:val="BodyText"/>
        <w:widowControl/>
        <w:spacing w:before="0" w:after="6"/>
        <w:ind w:firstLine="680" w:left="0" w:right="0"/>
        <w:rPr>
          <w:rFonts w:ascii="Times New Roman" w:hAnsi="Times New Roman"/>
          <w:color w:val="0A0A0A"/>
          <w:sz w:val="28"/>
        </w:rPr>
      </w:pPr>
      <w:r>
        <w:rPr>
          <w:rFonts w:ascii="Times New Roman" w:hAnsi="Times New Roman"/>
          <w:color w:val="0A0A0A"/>
          <w:sz w:val="28"/>
        </w:rPr>
        <w:t>Одним из наиболее острых ограничений успешной информатизации администрации выступает кадровый дефицит и недостаточная «цифровая» компетентность сотрудников администрации и сотрудников местных администраций поселений. Исследования в этой сфере позволяют выделить системные проблемы: недостаточное количество программ повышения квалификации, использование устаревших знаний и технологий в сфере ИТ и коммуникаций. Цифровая трансформация требует от муниципальных служащих принципиально новых компетенций, включающих навыки онлайн-коммуникации, модерации цифровых площадок, создания доступного контента и взаимодействия с локальными интернет-сообществами, владения навыками работы с информационными системами. Решение этой проблемы требует пересмотра подходов к подготовке рабочих кадров.</w:t>
      </w:r>
    </w:p>
    <w:p>
      <w:pPr>
        <w:pStyle w:val="BodyText"/>
        <w:widowControl/>
        <w:spacing w:before="0" w:after="6"/>
        <w:ind w:firstLine="680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A0A0A"/>
          <w:sz w:val="28"/>
        </w:rPr>
        <w:t>Для решения поставленных Программой задач планируется п</w:t>
      </w:r>
      <w:r>
        <w:rPr>
          <w:rFonts w:ascii="Times New Roman" w:hAnsi="Times New Roman"/>
          <w:color w:val="040404"/>
          <w:sz w:val="28"/>
        </w:rPr>
        <w:t>родолжить работу по дальнейшему динамичному развитию инфраструктуры связи администрации, поддержке импортозамещения, развитию сфер искусственного интеллекта, цифрового государственного управления, а также по организации повышения квалификации кадрового состава работников администрации поселений в части повышения квалификации в области информационных технологий.</w:t>
      </w:r>
    </w:p>
    <w:p>
      <w:pPr>
        <w:pStyle w:val="Normal"/>
        <w:widowControl/>
        <w:ind w:firstLine="680" w:left="0" w:right="0"/>
        <w:rPr>
          <w:rFonts w:ascii="Times New Roman" w:hAnsi="Times New Roman"/>
          <w:color w:val="040404"/>
          <w:sz w:val="28"/>
        </w:rPr>
      </w:pPr>
      <w:r>
        <w:rPr>
          <w:rFonts w:ascii="Times New Roman" w:hAnsi="Times New Roman"/>
          <w:sz w:val="28"/>
        </w:rPr>
        <w:t>Учитывая большой срок службы имеющейся вычислительной техники и телекоммуникаций, необходима их модернизация, замена технически устаревшего оборудования, установка систем, повышающих безопасность, производительность и устойчивость к техническим сбоям. Необходима и дальнейшая работа по модернизации автоматизированных рабочих мест (далее — АРМ) работников структурных подразделений администрации, установке на АРМ имеющегося лицензионного системного программного обеспечения отечественного производителя, прикладного общего и специального программного обеспечения.</w:t>
      </w:r>
    </w:p>
    <w:p>
      <w:pPr>
        <w:pStyle w:val="BodyText"/>
        <w:widowControl/>
        <w:spacing w:before="0" w:after="6"/>
        <w:ind w:firstLine="680" w:left="0" w:right="0"/>
        <w:rPr>
          <w:color w:val="040404"/>
          <w:shd w:fill="FFCC00" w:val="clear"/>
        </w:rPr>
      </w:pPr>
      <w:bookmarkStart w:id="4" w:name="P001A_1"/>
      <w:bookmarkEnd w:id="4"/>
      <w:r>
        <w:rPr>
          <w:rFonts w:ascii="Times New Roman" w:hAnsi="Times New Roman"/>
          <w:color w:val="040404"/>
          <w:sz w:val="28"/>
        </w:rPr>
        <w:t>Развитие использования информационных технологий в деятельности администрации влечет за собой необходимость надежного решения вопросов информационной безопасности, соблюдения законодательства в сфере организации обработки персональных данных.</w:t>
      </w:r>
    </w:p>
    <w:p>
      <w:pPr>
        <w:pStyle w:val="Normal"/>
        <w:widowControl/>
        <w:spacing w:before="0" w:after="6"/>
        <w:ind w:firstLine="680" w:left="0" w:right="0"/>
        <w:rPr>
          <w:rFonts w:ascii="Times New Roman" w:hAnsi="Times New Roman"/>
          <w:color w:val="040404"/>
          <w:sz w:val="28"/>
        </w:rPr>
      </w:pPr>
      <w:r>
        <w:rPr>
          <w:rFonts w:ascii="Times New Roman" w:hAnsi="Times New Roman"/>
          <w:color w:val="040404"/>
          <w:sz w:val="28"/>
        </w:rPr>
        <w:t>Для парирования угроз информационной безопасности необходимо в рамках Программы продолжить использование и обеспечить массовое применение отечественных средств защиты информации, включая сертифицированные Федеральной службой безопасности Российской Федерации средства криптографической защиты информации, а также использование сервисов (работ, услуг) по обеспечению информационной безопасности, предоставляемых (выполняемых, оказываемых) российскими организациями. Атаки нового поколения уже выполняются злоумышленниками с применением технологий искусственного интеллекта, которые постоянно совершенствуются, в том числе в части быстрого поиска уязвимостей в отечественных цифровых платформах.</w:t>
      </w:r>
    </w:p>
    <w:p>
      <w:pPr>
        <w:pStyle w:val="Normal"/>
        <w:widowControl/>
        <w:spacing w:before="0" w:after="6"/>
        <w:ind w:firstLine="680" w:left="0" w:right="0"/>
        <w:rPr>
          <w:rFonts w:ascii="Times New Roman" w:hAnsi="Times New Roman"/>
          <w:color w:val="040404"/>
          <w:sz w:val="28"/>
        </w:rPr>
      </w:pPr>
      <w:r>
        <w:rPr>
          <w:rFonts w:ascii="Times New Roman" w:hAnsi="Times New Roman"/>
          <w:color w:val="040404"/>
          <w:sz w:val="28"/>
        </w:rPr>
        <w:t>Устойчивость критической информационной инфраструктуры во многом определяется ее защищенностью от DDoS-атак, количество и мощность которых растут с каждым годом. Продолжится работа по поддержанию эффективной системы защиты прав и законных интересов личности, бизнеса и государства от угроз информационной безопасности, поддержанию системы эффективного противодействия преступлениям, совершаемым с использованием информационно-телекоммуникационных технологий, снижению ущерба от их совершения, а также обеспечению сетевого суверенитета и информационной безопасности в сети "Интернет".</w:t>
      </w:r>
    </w:p>
    <w:p>
      <w:pPr>
        <w:pStyle w:val="BodyText"/>
        <w:widowControl/>
        <w:spacing w:before="0" w:after="6"/>
        <w:ind w:firstLine="680" w:left="0" w:right="0"/>
        <w:rPr>
          <w:color w:val="040404"/>
          <w:shd w:fill="FFCC00" w:val="clear"/>
        </w:rPr>
      </w:pPr>
      <w:r>
        <w:rPr>
          <w:rFonts w:ascii="Times New Roman" w:hAnsi="Times New Roman"/>
          <w:color w:val="040404"/>
          <w:sz w:val="28"/>
        </w:rPr>
        <w:t xml:space="preserve"> </w:t>
      </w:r>
      <w:bookmarkStart w:id="5" w:name="P001E_1"/>
      <w:bookmarkEnd w:id="5"/>
      <w:r>
        <w:rPr>
          <w:rFonts w:ascii="Times New Roman" w:hAnsi="Times New Roman"/>
          <w:color w:val="040404"/>
          <w:sz w:val="28"/>
        </w:rPr>
        <w:t>Для достижения требуемого уровня защиты персональных данных и открытых информационных систем общего пользования (официальный сайт) в соответствии с законодательством администрацией в рамках разрабатываемой Программы будут и дальше контролироваться вопросы применения комплекса мер, направленных на предотвращение несанкционированного доступа и утечки конфиденциальной информации, обеспечения защиты каналов передачи данных, серверных помещений и обеспечения отказоустойчивости информационных систем персональных данных.</w:t>
      </w:r>
    </w:p>
    <w:p>
      <w:pPr>
        <w:pStyle w:val="BodyText"/>
        <w:widowControl/>
        <w:spacing w:before="0" w:after="6"/>
        <w:ind w:firstLine="680" w:left="0" w:right="0"/>
        <w:rPr>
          <w:rFonts w:ascii="Times New Roman" w:hAnsi="Times New Roman"/>
          <w:color w:val="0A0A0A"/>
          <w:sz w:val="28"/>
        </w:rPr>
      </w:pPr>
      <w:r>
        <w:rPr>
          <w:rFonts w:ascii="Times New Roman" w:hAnsi="Times New Roman"/>
          <w:color w:val="040404"/>
          <w:sz w:val="28"/>
        </w:rPr>
        <w:t xml:space="preserve">В рамках Программы будут также продолжены работы по  </w:t>
      </w:r>
      <w:r>
        <w:rPr>
          <w:rFonts w:ascii="Times New Roman" w:hAnsi="Times New Roman"/>
          <w:sz w:val="28"/>
        </w:rPr>
        <w:t xml:space="preserve">настройке доменной инфраструктуры с учетом программного обеспечения национального производителя, включая планирование ресурсов домена, разработку новых правил именования домена и объектов, настройку DNS зон, планирование и настройку отказоустойчивости инфраструктуры, настройку типовых политик безопасности на новом контроллере домена, работы по настройке правил сегментирования сетевой инфраструктуры в соответствие с обновленными регламентами, межсетевого экранирования, настройке тегирования трафика на сетевых коммутаторах для корректного функционирования информационных систем и IP-телефонии, настройке фильтрации между сегментами новой сетевой инфраструктуры и другие мероприятия по </w:t>
      </w:r>
      <w:r>
        <w:rPr>
          <w:rFonts w:ascii="Times New Roman" w:hAnsi="Times New Roman"/>
          <w:color w:val="040404"/>
          <w:sz w:val="28"/>
        </w:rPr>
        <w:t>модернизации информационно-телекоммуникационной инфраструктуры.</w:t>
      </w:r>
    </w:p>
    <w:p>
      <w:pPr>
        <w:pStyle w:val="BodyText"/>
        <w:widowControl/>
        <w:spacing w:before="0" w:after="6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A0A0A"/>
          <w:sz w:val="28"/>
        </w:rPr>
        <w:t>Успешная информатизация муниципального уровня способна стать катализатором достижения национальных целей развития на уровне администрации, обеспечив «цифровую зрелость» социальной сферы и повышение качества жизни через доступность и персонализацию публичных услуг, создание новых возможностей для диалога с населением.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Внедрение в работе администрации новых информационных технологий приведет к качественному изменению процессов управления. Это позволит, в частности, быстрее и объективнее реагировать на проблемы граждан, достаточно компетентно и обоснованно выступать с новыми инициативами, лучше координировать и контролировать деятельность подотчетных органов, создать условия для независимой экспертизы, более оперативно анализировать, обобщать и учитывать общественные настроения, оперативнее действовать в чрезвычайных ситуациях, использовать в своей работе прогностические модели.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Реализация Программы должна обеспечить дальнейшее развитие информационной и телекоммуникационной инфраструктуры, сформировать условия для подключения к новым информационным системам федеральных и региональных органов власти, их стабильную работоспособность, обеспечить эффективное взаимодействие органов муниципальной власти с гражданами и хозяйствующими субъектами муниципального образования Северский муниципальный район Краснодарского края.</w:t>
      </w:r>
    </w:p>
    <w:p>
      <w:pPr>
        <w:pStyle w:val="Normal"/>
        <w:widowControl/>
        <w:ind w:hanging="0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/>
        <w:jc w:val="center"/>
        <w:rPr>
          <w:rFonts w:ascii="Times New Roman" w:hAnsi="Times New Roman"/>
          <w:b/>
          <w:sz w:val="28"/>
        </w:rPr>
      </w:pPr>
      <w:bookmarkStart w:id="6" w:name="sub_1100_Копия_1"/>
      <w:bookmarkEnd w:id="6"/>
      <w:r>
        <w:rPr>
          <w:rFonts w:ascii="Times New Roman" w:hAnsi="Times New Roman"/>
          <w:b/>
          <w:sz w:val="28"/>
        </w:rPr>
        <w:t>2. Цели, задачи и целевые показатели, сроки и этапы реализации Программы</w:t>
      </w:r>
    </w:p>
    <w:tbl>
      <w:tblPr>
        <w:tblStyle w:val="Style_3"/>
        <w:tblW w:w="14286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17"/>
        <w:gridCol w:w="6461"/>
        <w:gridCol w:w="1093"/>
        <w:gridCol w:w="1000"/>
        <w:gridCol w:w="934"/>
        <w:gridCol w:w="865"/>
        <w:gridCol w:w="861"/>
        <w:gridCol w:w="853"/>
        <w:gridCol w:w="840"/>
        <w:gridCol w:w="860"/>
      </w:tblGrid>
      <w:tr>
        <w:trPr/>
        <w:tc>
          <w:tcPr>
            <w:tcW w:w="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№ 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п/п</w:t>
            </w:r>
          </w:p>
        </w:tc>
        <w:tc>
          <w:tcPr>
            <w:tcW w:w="6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Наименование целевого показателя</w:t>
            </w:r>
          </w:p>
        </w:tc>
        <w:tc>
          <w:tcPr>
            <w:tcW w:w="1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/>
              <w:suppressAutoHyphens w:val="true"/>
              <w:spacing w:lineRule="auto" w:line="240" w:before="0" w:after="12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Едини-цы измере-ния по (ОКЕИ)</w:t>
            </w:r>
          </w:p>
        </w:tc>
        <w:tc>
          <w:tcPr>
            <w:tcW w:w="62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Значение показателя</w:t>
            </w:r>
          </w:p>
        </w:tc>
      </w:tr>
      <w:tr>
        <w:trPr/>
        <w:tc>
          <w:tcPr>
            <w:tcW w:w="5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64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10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-57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Отчет-ный год 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(2025)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  <w:vertAlign w:val="superscript"/>
              </w:rPr>
              <w:t>(1)</w:t>
            </w:r>
          </w:p>
        </w:tc>
        <w:tc>
          <w:tcPr>
            <w:tcW w:w="9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2027 год</w:t>
            </w:r>
          </w:p>
          <w:p>
            <w:pPr>
              <w:pStyle w:val="1210"/>
              <w:widowControl/>
              <w:tabs>
                <w:tab w:val="clear" w:pos="708"/>
                <w:tab w:val="left" w:pos="1479" w:leader="none"/>
              </w:tabs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реализации</w:t>
            </w:r>
          </w:p>
        </w:tc>
        <w:tc>
          <w:tcPr>
            <w:tcW w:w="8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2028 год реализации</w:t>
            </w:r>
          </w:p>
        </w:tc>
        <w:tc>
          <w:tcPr>
            <w:tcW w:w="8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2029 год реализации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2030 год реализации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2031 год реализации</w:t>
            </w:r>
          </w:p>
        </w:tc>
        <w:tc>
          <w:tcPr>
            <w:tcW w:w="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2032 год реализации</w:t>
            </w:r>
          </w:p>
        </w:tc>
      </w:tr>
      <w:tr>
        <w:trPr>
          <w:trHeight w:val="370" w:hRule="atLeast"/>
        </w:trPr>
        <w:tc>
          <w:tcPr>
            <w:tcW w:w="517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</w:t>
            </w:r>
          </w:p>
        </w:tc>
        <w:tc>
          <w:tcPr>
            <w:tcW w:w="6461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4</w:t>
            </w:r>
          </w:p>
        </w:tc>
        <w:tc>
          <w:tcPr>
            <w:tcW w:w="934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5</w:t>
            </w:r>
          </w:p>
        </w:tc>
        <w:tc>
          <w:tcPr>
            <w:tcW w:w="865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6</w:t>
            </w:r>
          </w:p>
        </w:tc>
        <w:tc>
          <w:tcPr>
            <w:tcW w:w="861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7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8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9</w:t>
            </w:r>
          </w:p>
        </w:tc>
        <w:tc>
          <w:tcPr>
            <w:tcW w:w="86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</w:t>
            </w:r>
          </w:p>
        </w:tc>
      </w:tr>
      <w:tr>
        <w:trPr>
          <w:trHeight w:val="441" w:hRule="atLeast"/>
        </w:trPr>
        <w:tc>
          <w:tcPr>
            <w:tcW w:w="1428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Муниципальная программа «Информатизация Северского  района»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Цель: Организация эффективной деятельности администрации за счет автоматизации рабочего процесса, модерни-зации информационно-телекоммуникационной инфраструктуры администрации с использованием современных информационных, телекоммуникационных, цифровых технологий, а также сервисов информационной безопасности</w:t>
            </w:r>
          </w:p>
        </w:tc>
      </w:tr>
      <w:tr>
        <w:trPr>
          <w:trHeight w:val="405" w:hRule="atLeast"/>
        </w:trPr>
        <w:tc>
          <w:tcPr>
            <w:tcW w:w="5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1</w:t>
            </w:r>
          </w:p>
        </w:tc>
        <w:tc>
          <w:tcPr>
            <w:tcW w:w="64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2</w:t>
            </w:r>
          </w:p>
        </w:tc>
        <w:tc>
          <w:tcPr>
            <w:tcW w:w="109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3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4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5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6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7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8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9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10</w:t>
            </w:r>
          </w:p>
        </w:tc>
      </w:tr>
      <w:tr>
        <w:trPr>
          <w:trHeight w:val="2904" w:hRule="atLeast"/>
        </w:trPr>
        <w:tc>
          <w:tcPr>
            <w:tcW w:w="14284" w:type="dxa"/>
            <w:gridSpan w:val="10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Задачи: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- поддержка и развитие официального Интернет-портала администрации;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- модернизация информационно-телекоммуникационной инфраструктуры администрации, создание условий для развития и совершенствования инфраструктуры администрации;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- внедрение и развитие существующих сервисов электронного взаимодействия органов власти различных уровней в администрации, в том числе, в сфере предоставления муниципальных услуг;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- обеспечение администрации необходимыми программными продуктами и системами, организация и обеспечение работоспособности сети обмена данными между структурными подразделениями администрации и органами исполнительной власти</w:t>
            </w:r>
          </w:p>
        </w:tc>
      </w:tr>
      <w:tr>
        <w:trPr/>
        <w:tc>
          <w:tcPr>
            <w:tcW w:w="517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</w:t>
            </w:r>
          </w:p>
        </w:tc>
        <w:tc>
          <w:tcPr>
            <w:tcW w:w="6461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доля автоматизированных рабочих мест администрации, обеспеченных базовым комплектом лицензионных программных продуктов российского производства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%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0</w:t>
            </w:r>
          </w:p>
        </w:tc>
        <w:tc>
          <w:tcPr>
            <w:tcW w:w="934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865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861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86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</w:tr>
      <w:tr>
        <w:trPr/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</w:t>
            </w:r>
          </w:p>
        </w:tc>
        <w:tc>
          <w:tcPr>
            <w:tcW w:w="6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доля структурных подразделений администрации, обеспеченных доступом к информационным системам</w:t>
            </w: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%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</w:tr>
      <w:tr>
        <w:trPr/>
        <w:tc>
          <w:tcPr>
            <w:tcW w:w="5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</w:t>
            </w:r>
          </w:p>
        </w:tc>
        <w:tc>
          <w:tcPr>
            <w:tcW w:w="64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доля работников администрации, обеспеченных базовым комплектом работоспособной оргтехники и компьютерного оборудования</w:t>
            </w:r>
          </w:p>
        </w:tc>
        <w:tc>
          <w:tcPr>
            <w:tcW w:w="109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%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95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97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97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97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97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97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97</w:t>
            </w:r>
          </w:p>
        </w:tc>
      </w:tr>
      <w:tr>
        <w:trPr/>
        <w:tc>
          <w:tcPr>
            <w:tcW w:w="5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4</w:t>
            </w:r>
          </w:p>
        </w:tc>
        <w:tc>
          <w:tcPr>
            <w:tcW w:w="64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доля замененной и отремонтированной компьютерной и оргтехники из общего количества, нуждающейся в замене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% от общего числа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Не менее 3</w:t>
            </w:r>
          </w:p>
        </w:tc>
        <w:tc>
          <w:tcPr>
            <w:tcW w:w="9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Не менее 3</w:t>
            </w:r>
          </w:p>
        </w:tc>
        <w:tc>
          <w:tcPr>
            <w:tcW w:w="8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Не менее3</w:t>
            </w:r>
          </w:p>
        </w:tc>
        <w:tc>
          <w:tcPr>
            <w:tcW w:w="8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Не менее3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Не менее3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Не менее3</w:t>
            </w:r>
          </w:p>
        </w:tc>
        <w:tc>
          <w:tcPr>
            <w:tcW w:w="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Не менее3</w:t>
            </w:r>
          </w:p>
        </w:tc>
      </w:tr>
      <w:tr>
        <w:trPr/>
        <w:tc>
          <w:tcPr>
            <w:tcW w:w="517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5</w:t>
            </w:r>
          </w:p>
        </w:tc>
        <w:tc>
          <w:tcPr>
            <w:tcW w:w="6461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обеспеченность расходными материалами компьютерной и оргтехники структурных подразделений администрации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%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100</w:t>
            </w:r>
          </w:p>
        </w:tc>
        <w:tc>
          <w:tcPr>
            <w:tcW w:w="934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865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861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86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</w:tr>
      <w:tr>
        <w:trPr/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</w:t>
            </w:r>
          </w:p>
        </w:tc>
        <w:tc>
          <w:tcPr>
            <w:tcW w:w="6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</w:t>
            </w: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4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5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6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7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8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9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</w:t>
            </w:r>
          </w:p>
        </w:tc>
      </w:tr>
      <w:tr>
        <w:trPr/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6</w:t>
            </w:r>
          </w:p>
        </w:tc>
        <w:tc>
          <w:tcPr>
            <w:tcW w:w="6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доля структурных подразделений администрации, обеспеченных средствами связи и скоростным Интернетом</w:t>
            </w: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%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</w:tr>
      <w:tr>
        <w:trPr/>
        <w:tc>
          <w:tcPr>
            <w:tcW w:w="5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7</w:t>
            </w:r>
          </w:p>
        </w:tc>
        <w:tc>
          <w:tcPr>
            <w:tcW w:w="64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обеспеченность структурных подразделений администрации электронным документооборотом</w:t>
            </w:r>
          </w:p>
        </w:tc>
        <w:tc>
          <w:tcPr>
            <w:tcW w:w="109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%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</w:tr>
      <w:tr>
        <w:trPr/>
        <w:tc>
          <w:tcPr>
            <w:tcW w:w="14284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Задачи: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- обеспечение информационной безопасности информационных ресурсов в сети и обеспечение защиты персональных данных;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 xml:space="preserve">– </w:t>
            </w: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аттестация и переаттестация объектов информатизации по требованиям безопасности информации, техническое сопровождение и контроль эффективности средств защиты информации на защищаемых объектах информатизации</w:t>
            </w:r>
          </w:p>
        </w:tc>
      </w:tr>
      <w:tr>
        <w:trPr/>
        <w:tc>
          <w:tcPr>
            <w:tcW w:w="517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</w:t>
            </w:r>
          </w:p>
        </w:tc>
        <w:tc>
          <w:tcPr>
            <w:tcW w:w="6461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охват мерами защиты информации информационно-технических ресурсов и коммуникаций администрации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%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934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865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861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86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</w:tr>
      <w:tr>
        <w:trPr/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</w:t>
            </w:r>
          </w:p>
        </w:tc>
        <w:tc>
          <w:tcPr>
            <w:tcW w:w="6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доля аттестованных рабочих мест в соответствии с требованиями по технической защите информации, содержащей сведения, не составляющих государственную тайну</w:t>
            </w: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%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bookmarkStart w:id="7" w:name="sub_1200"/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  <w:bookmarkEnd w:id="7"/>
          </w:p>
        </w:tc>
      </w:tr>
    </w:tbl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ОКЕИ- общероссийский классификатор единиц измерения;</w:t>
      </w:r>
    </w:p>
    <w:p>
      <w:pPr>
        <w:pStyle w:val="Normal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(1)- год, предшествующий году утверждения Программы.</w:t>
      </w:r>
    </w:p>
    <w:p>
      <w:pPr>
        <w:pStyle w:val="Normal"/>
        <w:widowControl/>
        <w:ind w:hanging="0" w:left="0" w:right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widowControl/>
        <w:ind w:hanging="0" w:left="0" w:right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widowControl/>
        <w:ind w:hanging="0" w:left="0" w:right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widowControl/>
        <w:ind w:hanging="0" w:left="0" w:right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widowControl/>
        <w:ind w:hanging="0" w:left="0" w:right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widowControl/>
        <w:ind w:hanging="0" w:left="0" w:right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widowControl/>
        <w:ind w:hanging="0" w:left="0" w:right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widowControl/>
        <w:ind w:hanging="0" w:left="0" w:right="0"/>
        <w:jc w:val="center"/>
        <w:rPr>
          <w:rFonts w:ascii="Times New Roman" w:hAnsi="Times New Roman"/>
          <w:b/>
          <w:sz w:val="28"/>
        </w:rPr>
      </w:pPr>
      <w:bookmarkStart w:id="8" w:name="sub_1500"/>
      <w:bookmarkEnd w:id="8"/>
      <w:r>
        <mc:AlternateContent>
          <mc:Choice Requires="wps">
            <w:drawing>
              <wp:anchor behindDoc="0" distT="1905" distB="1905" distL="1905" distR="1905" simplePos="0" locked="0" layoutInCell="1" allowOverlap="1" relativeHeight="75">
                <wp:simplePos x="0" y="0"/>
                <wp:positionH relativeFrom="column">
                  <wp:posOffset>-21590</wp:posOffset>
                </wp:positionH>
                <wp:positionV relativeFrom="paragraph">
                  <wp:posOffset>46656625</wp:posOffset>
                </wp:positionV>
                <wp:extent cx="9083675" cy="26035"/>
                <wp:effectExtent l="1905" t="1905" r="1905" b="1905"/>
                <wp:wrapNone/>
                <wp:docPr id="4" name="Picture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3520" cy="2592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1.7pt,3673.75pt" to="713.5pt,3675.75pt" ID="Picture 6" stroked="t" o:allowincell="f" style="position:absolute">
                <v:stroke color="black" weight="324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635" distB="635" distL="635" distR="635" simplePos="0" locked="0" layoutInCell="1" allowOverlap="1" relativeHeight="76">
                <wp:simplePos x="0" y="0"/>
                <wp:positionH relativeFrom="column">
                  <wp:posOffset>6308090</wp:posOffset>
                </wp:positionH>
                <wp:positionV relativeFrom="paragraph">
                  <wp:posOffset>39825930</wp:posOffset>
                </wp:positionV>
                <wp:extent cx="634365" cy="635"/>
                <wp:effectExtent l="635" t="635" r="635" b="635"/>
                <wp:wrapNone/>
                <wp:docPr id="5" name="Picture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320" cy="72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96.7pt,3135.9pt" to="546.6pt,3135.9pt" ID="Picture 7" stroked="t" o:allowincell="f" style="position:absolute">
                <v:stroke color="#3465a4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Times New Roman" w:hAnsi="Times New Roman"/>
          <w:b/>
          <w:sz w:val="28"/>
        </w:rPr>
        <w:t>Сведения о порядке сбора информации и методике расчета целевых показателей Программы</w:t>
      </w:r>
    </w:p>
    <w:tbl>
      <w:tblPr>
        <w:tblStyle w:val="Style_3"/>
        <w:tblW w:w="14171" w:type="dxa"/>
        <w:jc w:val="left"/>
        <w:tblInd w:w="141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36"/>
        <w:gridCol w:w="2126"/>
        <w:gridCol w:w="696"/>
        <w:gridCol w:w="995"/>
        <w:gridCol w:w="1173"/>
        <w:gridCol w:w="1621"/>
        <w:gridCol w:w="2743"/>
        <w:gridCol w:w="3059"/>
        <w:gridCol w:w="1322"/>
      </w:tblGrid>
      <w:tr>
        <w:trPr/>
        <w:tc>
          <w:tcPr>
            <w:tcW w:w="43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№ 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п/п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Наименование целевого показателя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Ед. изм. (по ОКЕИ)</w:t>
            </w:r>
          </w:p>
        </w:tc>
        <w:tc>
          <w:tcPr>
            <w:tcW w:w="99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Характеристика планируемой динамики целевого показателя 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perscript"/>
              </w:rPr>
              <w:t>(1)</w:t>
            </w:r>
          </w:p>
        </w:tc>
        <w:tc>
          <w:tcPr>
            <w:tcW w:w="117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Метод расчета 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perscript"/>
              </w:rPr>
              <w:t>(2)</w:t>
            </w:r>
          </w:p>
        </w:tc>
        <w:tc>
          <w:tcPr>
            <w:tcW w:w="1621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Методика расчета целевого показателя (формула), алгоритм формирования формул, методологические пояснения к базовым показателям, исполь-зуемым в формуле</w:t>
            </w:r>
          </w:p>
        </w:tc>
        <w:tc>
          <w:tcPr>
            <w:tcW w:w="274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Источник исходных данных для расчета значения (формирования данных) целевого показателя</w:t>
            </w:r>
          </w:p>
        </w:tc>
        <w:tc>
          <w:tcPr>
            <w:tcW w:w="3059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Связь с показателем государственной программы и (или) ее структурного элемента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Ответственный за сбор данных и расчет целевого показателя</w:t>
            </w:r>
          </w:p>
        </w:tc>
      </w:tr>
      <w:tr>
        <w:trPr/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4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5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6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7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8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9</w:t>
            </w:r>
          </w:p>
        </w:tc>
      </w:tr>
      <w:tr>
        <w:trPr/>
        <w:tc>
          <w:tcPr>
            <w:tcW w:w="14171" w:type="dxa"/>
            <w:gridSpan w:val="9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Целевые показатели муниципальной программы</w:t>
            </w:r>
          </w:p>
        </w:tc>
      </w:tr>
      <w:tr>
        <w:trPr>
          <w:trHeight w:val="540" w:hRule="atLeast"/>
        </w:trPr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доля автоматизированных рабочих мест администрации, обеспеченных базовым комплектом лицензионных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программных продуктов российского производства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%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поддержание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4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4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накопи-тельный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5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/>
              <w:t>5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Д=К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</w:rPr>
              <w:t>ав_арм_обеспеч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/К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18"/>
                <w:szCs w:val="20"/>
              </w:rPr>
              <w:t>общее_кол-во_арм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*100%, где Д- доля автоматизи-рованных рабочих мест, обеспечен-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6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ных базовым комплектом лицензион-ных програм-мных продуктов, 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</w:rPr>
              <w:t>ав_арм_обеспеч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 - количество автоматизи-рованных рабочих мест, обес-печенных базовым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комплектом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лицензион-ных програм-мных продуктов, 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18"/>
                <w:szCs w:val="20"/>
              </w:rPr>
              <w:t xml:space="preserve">общее_кол-во+арм – 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общее количество рабочих мест адми-нистрации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6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20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40404"/>
                <w:sz w:val="28"/>
              </w:rPr>
            </w:pPr>
            <w:hyperlink r:id="rId6">
              <w:r>
                <w:rPr>
                  <w:rStyle w:val="Style4"/>
                  <w:rFonts w:ascii="Times New Roman" w:hAnsi="Times New Roman"/>
                  <w:color w:val="040404"/>
                  <w:spacing w:val="0"/>
                  <w:kern w:val="0"/>
                  <w:sz w:val="28"/>
                  <w:szCs w:val="20"/>
                  <w:u w:val="none"/>
                </w:rPr>
                <w:t>Указ</w:t>
              </w:r>
            </w:hyperlink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 xml:space="preserve"> Президента Российской Федерации от 7 мая 2024 года № 309 «О национальных целях развития Российской Федерации на период до 2030 года и на перспективу до 2036</w:t>
            </w:r>
          </w:p>
          <w:p>
            <w:pPr>
              <w:pStyle w:val="112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7</w:t>
            </w:r>
          </w:p>
          <w:p>
            <w:pPr>
              <w:pStyle w:val="1120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года»;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Постановление Правительства РФ от 15 апреля 2014 года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№ 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313 «Об утверждении государственной программы Российской Федерации "Информационное общество»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7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НЦ: увеличение к 2030 году до 95 процентов доли использования российского программного обеспечения в государственных органах, государственных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8"/>
              </w:rPr>
              <w:t>8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корпорациях, государственных компаниях и хозяйственных обществах, в уставном капитале которых доля участия Российской Федерации в совокупности превышает 50 процентов, а также в их аффилированных юридических лицах;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20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ГП: к 2030 году увеличена доля использования</w:t>
            </w:r>
          </w:p>
          <w:p>
            <w:pPr>
              <w:pStyle w:val="1120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российского программного обеспечения до 95 процентов в деятельности государственных органов, государствен-ных корпораций, государственных компаний и хозяйственных обществ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8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управле-ние информа-тизации и информа-ционной безопасности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89">
                      <wp:simplePos x="0" y="0"/>
                      <wp:positionH relativeFrom="column">
                        <wp:posOffset>-8214360</wp:posOffset>
                      </wp:positionH>
                      <wp:positionV relativeFrom="paragraph">
                        <wp:posOffset>224155</wp:posOffset>
                      </wp:positionV>
                      <wp:extent cx="9055735" cy="0"/>
                      <wp:effectExtent l="635" t="635" r="635" b="46355"/>
                      <wp:wrapNone/>
                      <wp:docPr id="6" name="Линия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55800" cy="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overflowPunct w:val="false"/>
                                    <w:jc w:val="center"/>
                                    <w:rPr/>
                                  </w:pPr>
                                  <w:r>
                                    <w:rPr>
                                      <w:sz w:val="20"/>
                                      <w:rFonts w:ascii="Times New Roman" w:hAnsi="Times New Roman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lIns="0" rIns="0" tIns="0" bIns="0" anchor="ctr" anchorCtr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646.8pt,17.65pt" to="66.2pt,17.65pt" ID="Линия 1" stroked="t" o:allowincell="f" style="position:absolute">
                      <v:textbox>
                        <w:txbxContent>
                          <w:p>
                            <w:pPr>
                              <w:overflowPunct w:val="false"/>
                              <w:jc w:val="center"/>
                              <w:rPr/>
                            </w:pPr>
                            <w:r>
                              <w:rPr>
                                <w:sz w:val="20"/>
                                <w:rFonts w:ascii="Times New Roman" w:hAnsi="Times New Roman"/>
                              </w:rPr>
                              <w:t xml:space="preserve"> </w:t>
                            </w:r>
                          </w:p>
                        </w:txbxContent>
                      </v:textbox>
                      <v:stroke color="black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9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9</w:t>
            </w:r>
          </w:p>
        </w:tc>
      </w:tr>
      <w:tr>
        <w:trPr/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1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mc:AlternateContent>
                <mc:Choice Requires="wps">
                  <w:drawing>
                    <wp:anchor behindDoc="0" distT="635" distB="635" distL="635" distR="635" simplePos="0" locked="0" layoutInCell="1" allowOverlap="1" relativeHeight="77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33020</wp:posOffset>
                      </wp:positionV>
                      <wp:extent cx="8976360" cy="635"/>
                      <wp:effectExtent l="635" t="635" r="635" b="635"/>
                      <wp:wrapNone/>
                      <wp:docPr id="7" name="Picture 1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76240" cy="72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0.15pt,2.6pt" to="706.9pt,2.6pt" ID="Picture 13" stroked="t" o:allowincell="t" style="position:absolute">
                      <v:stroke color="black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доля структурных подразделений администрации, обеспеченных доступом к информацион-ным системам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%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поддержание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4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4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накопительный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5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5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Д=К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</w:rPr>
              <w:t>стр_обеспеч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/К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18"/>
                <w:szCs w:val="20"/>
              </w:rPr>
              <w:t>общее_кол-во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16"/>
                <w:szCs w:val="20"/>
              </w:rPr>
              <w:t>_стр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*100%, где Д- доля структурных подразделе-ний, обеспечен-ных доступом к информаци-онным системам, 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</w:rPr>
              <w:t>стр_обеспеч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 –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количество структурных подразделений, обеспечен-ных доступом к информационным системам,  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18"/>
                <w:szCs w:val="20"/>
              </w:rPr>
              <w:t>общее_кол-во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16"/>
                <w:szCs w:val="20"/>
              </w:rPr>
              <w:t xml:space="preserve">_стр 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– общее количество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6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структурных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подразделений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6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20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40404"/>
                <w:sz w:val="28"/>
              </w:rPr>
            </w:pPr>
            <w:hyperlink r:id="rId7">
              <w:r>
                <w:rPr>
                  <w:rStyle w:val="Style4"/>
                  <w:rFonts w:ascii="Times New Roman" w:hAnsi="Times New Roman"/>
                  <w:color w:val="040404"/>
                  <w:spacing w:val="0"/>
                  <w:kern w:val="0"/>
                  <w:sz w:val="28"/>
                  <w:szCs w:val="20"/>
                  <w:u w:val="none"/>
                </w:rPr>
                <w:t>Указ</w:t>
              </w:r>
            </w:hyperlink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 xml:space="preserve"> Президента Российской Федерации от 7 мая 2024 года № 309 «О национальных целях развития Российской Федерации на период до 2030 года и на перспективу до 2036 года»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kern w:val="0"/>
                <w:sz w:val="28"/>
                <w:szCs w:val="20"/>
              </w:rPr>
              <w:t>7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Постановление Правительства РФ от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15 апреля 2014 года № 313 «Об утверждении государственной программы Российской Федерации "Информационное общество»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7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mc:AlternateContent>
                <mc:Choice Requires="wps">
                  <w:drawing>
                    <wp:anchor behindDoc="0" distT="0" distB="0" distL="0" distR="0" simplePos="0" locked="0" layoutInCell="1" allowOverlap="1" relativeHeight="90">
                      <wp:simplePos x="0" y="0"/>
                      <wp:positionH relativeFrom="column">
                        <wp:posOffset>-4499610</wp:posOffset>
                      </wp:positionH>
                      <wp:positionV relativeFrom="paragraph">
                        <wp:posOffset>9525</wp:posOffset>
                      </wp:positionV>
                      <wp:extent cx="9012555" cy="8890"/>
                      <wp:effectExtent l="635" t="635" r="635" b="635"/>
                      <wp:wrapNone/>
                      <wp:docPr id="8" name="Линия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 flipV="1">
                                <a:off x="0" y="0"/>
                                <a:ext cx="9012600" cy="900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354.3pt,0.75pt" to="355.3pt,1.4pt" ID="Линия 2" stroked="t" o:allowincell="f" style="position:absolute;flip:xy">
                      <v:stroke color="black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НЦ: достижение к 2030 году "цифровой зрелости" государственного и муниципального управления, ключевых отраслей экономики и социальной сферы, в том числе здравоохранения и образования, предполагающей автоматизацию большей части транзакций в рамках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единых отраслевых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цифровых платформ и модели управления на основе данных с учетом ускоренного внедрения технологий обработки больших объемов данных, машинного обучения и искусственного интеллекта;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color w:val="040404"/>
                <w:spacing w:val="0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8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rFonts w:ascii="Times New Roman" w:hAnsi="Times New Roman"/>
                <w:color w:val="040404"/>
                <w:sz w:val="28"/>
              </w:rPr>
            </w:pPr>
            <w:bookmarkStart w:id="9" w:name="sub_10219"/>
            <w:bookmarkEnd w:id="9"/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ГП: к 2030году достигнута "цифровая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57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зрелость" государственного и муниципального управления, ключевых отраслей экономики и социальной сферы;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ГП: к 2030 году доля государственных услуг и сервисов, в отношении которых средняя оценка удовлетворенности качеством работы государственных и муниципальных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служащих и работников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организаций социальной сферы по оказанию их в электронном виде с использованием феде-ральной государст-венной информацион-ной системы "Единый портал государственных и муниципальных услуг (функций)" (далее –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единый портал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40404"/>
                <w:spacing w:val="0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8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государственных услуг) составит выше 4,5 балла из 5 баллов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управле-ние информа-тизации и информа-ционной безопасности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9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9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</w:tr>
      <w:tr>
        <w:trPr/>
        <w:tc>
          <w:tcPr>
            <w:tcW w:w="43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mc:AlternateContent>
                <mc:Choice Requires="wps">
                  <w:drawing>
                    <wp:anchor behindDoc="0" distT="635" distB="635" distL="635" distR="635" simplePos="0" locked="0" layoutInCell="1" allowOverlap="1" relativeHeight="78">
                      <wp:simplePos x="0" y="0"/>
                      <wp:positionH relativeFrom="margin">
                        <wp:posOffset>30480</wp:posOffset>
                      </wp:positionH>
                      <wp:positionV relativeFrom="margin">
                        <wp:posOffset>243840</wp:posOffset>
                      </wp:positionV>
                      <wp:extent cx="8991600" cy="635"/>
                      <wp:effectExtent l="635" t="635" r="635" b="635"/>
                      <wp:wrapNone/>
                      <wp:docPr id="9" name="Picture 1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91720" cy="72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2.4pt,19.2pt" to="710.35pt,19.2pt" ID="Picture 19" stroked="t" o:allowincell="t" style="position:absolute;mso-position-horizontal-relative:margin;mso-position-vertical-relative:margin">
                      <v:stroke color="black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доля работников администрации, обеспеченных базовым комплектом работоспособ-ной оргтехники и компьютер-ного оборудо-вания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%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поддержание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4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накопительный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5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Д=К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</w:rPr>
              <w:t>сотр_обеспеч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/К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18"/>
                <w:szCs w:val="20"/>
              </w:rPr>
              <w:t>общее_кол-во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16"/>
                <w:szCs w:val="20"/>
              </w:rPr>
              <w:t>_сотр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*100%, где Д- доля работников администрации, обеспечен-ных базовым комплектом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работоспо-собной оргтехники, 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</w:rPr>
              <w:t>сотр_обеспеч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 – количество работников администра-ции, обеспечен-ным базовым комплектом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6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оргтехники,К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18"/>
                <w:szCs w:val="20"/>
              </w:rPr>
              <w:t>общее_кол-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18"/>
                <w:szCs w:val="20"/>
              </w:rPr>
              <w:t>во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16"/>
                <w:szCs w:val="20"/>
              </w:rPr>
              <w:t xml:space="preserve">_сотр – 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общее количество работников администра-ции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120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Указ Президента Российской Федерации от 7 мая 2024 года № 309 «О национальных целях развития Российской Федерации на период до 2030 года и на перспективу до 2036 года»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7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40404"/>
                <w:sz w:val="28"/>
              </w:rPr>
            </w:pPr>
            <w:r>
              <w:rPr>
                <w:color w:val="040404"/>
                <w:sz w:val="28"/>
              </w:rPr>
            </w:r>
          </w:p>
        </w:tc>
        <w:tc>
          <w:tcPr>
            <w:tcW w:w="3059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НЦ: обеспечение к 2030 году повышения уровня удовлетворенности граждан качеством работы государственных и муниципальных служащих и работников организаций социальной сферы не менее чем на 50 процентов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8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  <w:tc>
          <w:tcPr>
            <w:tcW w:w="132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управле-ние информа-тизации и информа-ционной безопасности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9</w:t>
            </w:r>
          </w:p>
        </w:tc>
      </w:tr>
      <w:tr>
        <w:trPr>
          <w:trHeight w:val="4192" w:hRule="atLeast"/>
        </w:trPr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4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mc:AlternateContent>
                <mc:Choice Requires="wps">
                  <w:drawing>
                    <wp:anchor behindDoc="0" distT="3810" distB="3810" distL="3810" distR="3810" simplePos="0" locked="0" layoutInCell="1" allowOverlap="1" relativeHeight="79">
                      <wp:simplePos x="0" y="0"/>
                      <wp:positionH relativeFrom="column">
                        <wp:posOffset>13970</wp:posOffset>
                      </wp:positionH>
                      <wp:positionV relativeFrom="margin">
                        <wp:posOffset>211455</wp:posOffset>
                      </wp:positionV>
                      <wp:extent cx="8958580" cy="0"/>
                      <wp:effectExtent l="3810" t="3810" r="3810" b="3810"/>
                      <wp:wrapNone/>
                      <wp:docPr id="10" name="Picture 2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58600" cy="0"/>
                              </a:xfrm>
                              <a:prstGeom prst="line">
                                <a:avLst/>
                              </a:prstGeom>
                              <a:ln w="68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.1pt,16.65pt" to="706.45pt,16.65pt" ID="Picture 24" stroked="t" o:allowincell="t" style="position:absolute;mso-position-vertical-relative:margin">
                      <v:stroke color="black" weight="684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доля замененной и отремонтированной компьютерной и оргтехники из общего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количества нуждающейся в замене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%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поддержание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4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накопительный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5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Д=К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</w:rPr>
              <w:t>оргтех_о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16"/>
                <w:szCs w:val="20"/>
              </w:rPr>
              <w:t>тремонтир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/К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18"/>
                <w:szCs w:val="20"/>
              </w:rPr>
              <w:t>общее_кол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*100%, где Д– замененной и отремонти-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рованной компьютер-ной и оргтехники из общего количества, нуждающихся в замене, 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</w:rPr>
              <w:t>оргтех_о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16"/>
                <w:szCs w:val="20"/>
              </w:rPr>
              <w:t xml:space="preserve">тремонтир 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- количество замененной и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6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отремонти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рованной компьютер-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ной и оргтехники,К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18"/>
                <w:szCs w:val="20"/>
              </w:rPr>
              <w:t>общее_кол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 – общее кол-во компьютерной и оргтехники и, нуждающейся в замене и ремонте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20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Указ Президента Российской Федерации от 7 мая 2024 года № 309 «О национальных целях развития Российской Федерации на период</w:t>
            </w:r>
          </w:p>
          <w:p>
            <w:pPr>
              <w:pStyle w:val="1120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до 2030 года и на перспективу до 2036 года»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7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НЦ: обеспечение к 2030 году повышения уровня удовлетворенности граждан качеством работы государственных и муниципальных служащих и работников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организаций социальной сферы не менее чем на 50 процентов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8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управле-ние информа-тизации и информа-ционной безопасно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сти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9</w:t>
            </w:r>
          </w:p>
        </w:tc>
      </w:tr>
      <w:tr>
        <w:trPr/>
        <w:tc>
          <w:tcPr>
            <w:tcW w:w="43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5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mc:AlternateContent>
                <mc:Choice Requires="wps">
                  <w:drawing>
                    <wp:anchor behindDoc="0" distT="3810" distB="3810" distL="3810" distR="3810" simplePos="0" locked="0" layoutInCell="1" allowOverlap="1" relativeHeight="91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18415</wp:posOffset>
                      </wp:positionV>
                      <wp:extent cx="8972550" cy="0"/>
                      <wp:effectExtent l="3810" t="3810" r="3810" b="3810"/>
                      <wp:wrapNone/>
                      <wp:docPr id="11" name="Picture 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72640" cy="0"/>
                              </a:xfrm>
                              <a:prstGeom prst="line">
                                <a:avLst/>
                              </a:prstGeom>
                              <a:ln w="68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0.15pt,1.45pt" to="706.6pt,1.45pt" ID="Picture 9" stroked="t" o:allowincell="t" style="position:absolute">
                      <v:stroke color="black" weight="684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обеспеченность расходными материалами компьютерной 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оргтехники структурных подразделений администрации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%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поддержание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4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1173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накопительный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5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О=К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</w:rPr>
              <w:t>орг_обеспеч_матер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/К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</w:rPr>
              <w:t>общее_кол_оргтех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*100%, где О–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обеспечен-ность расходными материалами, 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</w:rPr>
              <w:t>орг_обеспеч_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</w:rPr>
              <w:t>матер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- коли-чество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6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оргтехники, обеспечен-ной расходными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материалами, 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</w:rPr>
              <w:t>общее_кол_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</w:rPr>
              <w:t>оргтех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- общее количество оргтехники в администрации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120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Указ Президента Российской Федерации от 7 мая 2024 года № 309 "О</w:t>
            </w:r>
          </w:p>
          <w:p>
            <w:pPr>
              <w:pStyle w:val="1120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национальных целях развития Российской Федерации на период до 2030 года и на перспективу до 2036 года"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7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НЦ: обеспечение к 2030 году повышения уровня удовлетворенности граждан качеством работы государственных и муниципальных служащих и работников организаций социальной сферы не менее чем на 50 процентов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8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  <w:tc>
          <w:tcPr>
            <w:tcW w:w="132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управле-ние информа-тизации и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информа-ционной безопасности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9</w:t>
            </w:r>
          </w:p>
        </w:tc>
      </w:tr>
      <w:tr>
        <w:trPr/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6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mc:AlternateContent>
                <mc:Choice Requires="wps">
                  <w:drawing>
                    <wp:anchor behindDoc="0" distT="3810" distB="3810" distL="3810" distR="3810" simplePos="0" locked="0" layoutInCell="1" allowOverlap="1" relativeHeight="80">
                      <wp:simplePos x="0" y="0"/>
                      <wp:positionH relativeFrom="column">
                        <wp:posOffset>-19685</wp:posOffset>
                      </wp:positionH>
                      <wp:positionV relativeFrom="margin">
                        <wp:posOffset>196850</wp:posOffset>
                      </wp:positionV>
                      <wp:extent cx="8998585" cy="19685"/>
                      <wp:effectExtent l="3810" t="3810" r="3810" b="3810"/>
                      <wp:wrapNone/>
                      <wp:docPr id="12" name="Picture 2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8998560" cy="19800"/>
                              </a:xfrm>
                              <a:prstGeom prst="line">
                                <a:avLst/>
                              </a:prstGeom>
                              <a:ln w="68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Normal"/>
                                    <w:rPr>
                                      <w:color w:val="000000"/>
                                      <w:spacing w:val="0"/>
                                    </w:rPr>
                                  </w:pPr>
                                  <w:r>
                                    <w:rPr/>
                                  </w:r>
                                </w:p>
                              </w:txbxContent>
                            </wps:txbx>
                            <wps:bodyPr lIns="47520" rIns="47520" tIns="-21600" bIns="-21600" anchor="t" anchorCtr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1.55pt,15.5pt" to="706.95pt,17pt" ID="Picture 26" stroked="t" o:allowincell="t" style="position:absolute;flip:y;mso-position-vertical-relative:margin">
                      <v:stroke color="black" weight="6840" joinstyle="round" endcap="flat"/>
                      <v:fill o:detectmouseclick="t" on="false"/>
                      <v:textbox>
                        <w:txbxContent>
                          <w:p>
                            <w:pPr>
                              <w:pStyle w:val="Normal"/>
                              <w:rPr>
                                <w:color w:val="000000"/>
                                <w:spacing w:val="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v:textbox>
                      <w10:wrap type="none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доля структурных подразделений администрации, обеспеченных средствами связи и скоростным Интернетом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%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поддержание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4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накопительный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5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Д=К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</w:rPr>
              <w:t>стр_подр_обеспеч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/К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</w:rPr>
              <w:t>струк_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</w:rPr>
              <w:t>подр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*100%, где Д- доля структурных подразделений, обеспеченных средствами связи и Интернет, 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</w:rPr>
              <w:t>струк_подр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  - количество структурных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6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подразделений, обеспечен-ных средствами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связи и Ин-тернет,   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</w:rPr>
              <w:t xml:space="preserve">струк_подр  – 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общее  коли-чество структурных подразделе-ний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20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Указ Президента Российской Федерации от 7 мая 2024 года № 309 "О национальных целях развития Российской Федерации на период</w:t>
            </w:r>
          </w:p>
          <w:p>
            <w:pPr>
              <w:pStyle w:val="1120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до 2030 года и на перспективу до 2036 года"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7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НЦ: обеспечение к 2030 году повышения уровня удовлетворенности граждан качеством работы государственных и муниципальных служащих и работников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организаций социальной сферы не менее чем на 50 процентов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8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управле-ние информа-тизации и информа-ционной безопасно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сти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9</w:t>
            </w:r>
          </w:p>
        </w:tc>
      </w:tr>
      <w:tr>
        <w:trPr/>
        <w:tc>
          <w:tcPr>
            <w:tcW w:w="43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7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mc:AlternateContent>
                <mc:Choice Requires="wps">
                  <w:drawing>
                    <wp:anchor behindDoc="0" distT="3810" distB="3810" distL="3810" distR="3810" simplePos="0" locked="0" layoutInCell="1" allowOverlap="1" relativeHeight="82">
                      <wp:simplePos x="0" y="0"/>
                      <wp:positionH relativeFrom="column">
                        <wp:posOffset>1905</wp:posOffset>
                      </wp:positionH>
                      <wp:positionV relativeFrom="margin">
                        <wp:posOffset>208915</wp:posOffset>
                      </wp:positionV>
                      <wp:extent cx="8992870" cy="16510"/>
                      <wp:effectExtent l="3810" t="3810" r="3810" b="3810"/>
                      <wp:wrapNone/>
                      <wp:docPr id="13" name="Picture 2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92800" cy="16560"/>
                              </a:xfrm>
                              <a:prstGeom prst="line">
                                <a:avLst/>
                              </a:prstGeom>
                              <a:ln w="68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Normal"/>
                                    <w:rPr>
                                      <w:color w:val="000000"/>
                                      <w:spacing w:val="0"/>
                                    </w:rPr>
                                  </w:pPr>
                                  <w:r>
                                    <w:rPr/>
                                  </w:r>
                                </w:p>
                              </w:txbxContent>
                            </wps:txbx>
                            <wps:bodyPr lIns="47520" rIns="47520" tIns="-29160" bIns="-29160" anchor="t" anchorCtr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0.15pt,16.45pt" to="708.2pt,17.7pt" ID="Picture 27" stroked="t" o:allowincell="t" style="position:absolute;mso-position-vertical-relative:margin">
                      <v:stroke color="black" weight="6840" joinstyle="round" endcap="flat"/>
                      <v:fill o:detectmouseclick="t" on="false"/>
                      <v:textbox>
                        <w:txbxContent>
                          <w:p>
                            <w:pPr>
                              <w:pStyle w:val="Normal"/>
                              <w:rPr>
                                <w:color w:val="000000"/>
                                <w:spacing w:val="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v:textbox>
                      <w10:wrap type="none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обеспеченность структурных подразделений администрации электронным документооборотом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%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  <w:tc>
          <w:tcPr>
            <w:tcW w:w="99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поддержание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4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накопительный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5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 = 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</w:rPr>
              <w:t>эл.док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/ 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</w:rPr>
              <w:t>общ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 * 100%, где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 -  обеспечен-ность элект-ронным документооборотом,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bookmarkStart w:id="10" w:name="P00D60015"/>
            <w:bookmarkEnd w:id="10"/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</w:rPr>
              <w:t>эл.док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 - количество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структурных подразделений адми-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6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нистрации, обес-печенных электрон-ным документо-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оборотом,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bookmarkStart w:id="11" w:name="P00D60016"/>
            <w:bookmarkEnd w:id="11"/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</w:rPr>
              <w:t>общ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 - общее количество структурных подразделе-ний администра-ции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120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Указ Президента Российской Федерации от 7 мая 2024 года № 309 "О национальных целях развития Российской Федерации на период до 2030 года и на перспективу до 2036 года"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7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НЦ: достижение к 2030 году "цифровой зрелости" государственного и муниципального управления, ключевых отраслей экономики и социальной сферы, в том числе здравоохранения и образования, предполагающей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автоматизацию большей части транзакций в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8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рамках единых отраслевых цифровых платформ и модели управления на основе данных с учетом уско-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ренного внедрения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технологий обработки больших объемов данных, машинного обучения и искусствен-ного интеллекта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управле-ие информа-тизации и информа-ционной безопасности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9</w:t>
            </w:r>
          </w:p>
        </w:tc>
      </w:tr>
      <w:tr>
        <w:trPr/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8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mc:AlternateContent>
                <mc:Choice Requires="wps">
                  <w:drawing>
                    <wp:anchor behindDoc="0" distT="3810" distB="3810" distL="3810" distR="3810" simplePos="0" locked="0" layoutInCell="1" allowOverlap="1" relativeHeight="92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203835</wp:posOffset>
                      </wp:positionV>
                      <wp:extent cx="9015095" cy="7620"/>
                      <wp:effectExtent l="3810" t="3810" r="3810" b="3810"/>
                      <wp:wrapNone/>
                      <wp:docPr id="14" name="Picture 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9015120" cy="7560"/>
                              </a:xfrm>
                              <a:prstGeom prst="line">
                                <a:avLst/>
                              </a:prstGeom>
                              <a:ln w="68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311"/>
                                    <w:widowControl/>
                                    <w:jc w:val="left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  <w:p>
                                  <w:pPr>
                                    <w:pStyle w:val="311"/>
                                    <w:widowControl/>
                                    <w:jc w:val="left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xbxContent>
                            </wps:txbx>
                            <wps:bodyPr lIns="92160" rIns="92160" tIns="-34200" bIns="-34200" anchor="t" anchorCtr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0.6pt,16.05pt" to="709.2pt,16.6pt" ID="Picture 8" stroked="t" o:allowincell="t" style="position:absolute;flip:y">
                      <v:stroke color="black" weight="6840" joinstyle="round" endcap="flat"/>
                      <v:fill o:detectmouseclick="t" on="false"/>
                      <v:textbox>
                        <w:txbxContent>
                          <w:p>
                            <w:pPr>
                              <w:pStyle w:val="311"/>
                              <w:widowControl/>
                              <w:jc w:val="left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311"/>
                              <w:widowControl/>
                              <w:jc w:val="lef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v:textbox>
                      <w10:wrap type="none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охват мерами защиты информации информационно-технических ресурсов и коммуникаций администрации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%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поддержание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4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накопительный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0"/>
              </w:rPr>
              <w:t>5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О= 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</w:rPr>
              <w:t>арм_ср_защ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 /К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</w:rPr>
              <w:t>общ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 * 100%, где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 - охват мерами защиты информации,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</w:rPr>
              <w:t>арм_ср_защ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 - количество автоматизированных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6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рабочих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мест с установленными средствами защиты информации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в админи-страции, 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</w:rPr>
              <w:t>общ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 - общее количество рабочих мест в админи-страции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20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40404"/>
                <w:sz w:val="28"/>
              </w:rPr>
            </w:pPr>
            <w:hyperlink r:id="rId8">
              <w:r>
                <w:rPr>
                  <w:rStyle w:val="Style4"/>
                  <w:rFonts w:ascii="Times New Roman" w:hAnsi="Times New Roman"/>
                  <w:color w:val="040404"/>
                  <w:spacing w:val="0"/>
                  <w:kern w:val="0"/>
                  <w:sz w:val="28"/>
                  <w:szCs w:val="20"/>
                  <w:u w:val="none"/>
                </w:rPr>
                <w:t>Указ</w:t>
              </w:r>
            </w:hyperlink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 xml:space="preserve"> Президента Российской Федерации от 7 мая 202 года № 309 "О национальных целях развития Российской Федерации на период до 2030 года и на перспективу до 2036 года"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7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Постановление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Правительства РФ от 15 апреля 2014 года № 313 «Об утверждении  государственной программы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Российской Федерации "Информационное общество»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НЦ: создание системы эффективного противодействия преступлениям, совершаемым с использованием информационно-телекоммуникационных технологий, и снижения ущерба от их совершения;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НЦ:  обеспечение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8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сетевого суверенитета 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информационной безопасности в информационно-телекоммуникационной сети "Интернет".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ГП: к 2030 году обеспечены сетевой суверенитет и информационная безопасность в сети "Интернет".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управле-ние информа-тизации и информа-ционной безопасности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9</w:t>
            </w:r>
          </w:p>
        </w:tc>
      </w:tr>
      <w:tr>
        <w:trPr/>
        <w:tc>
          <w:tcPr>
            <w:tcW w:w="43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9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доля аттестован-ных рабочих мест в соответст-вии с требова-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ниями по технической защите информации, содержащей сведения, не составляющих государствен-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ную тайну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%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поддержание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4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  <w:tc>
          <w:tcPr>
            <w:tcW w:w="1173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накопительный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5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  <w:tc>
          <w:tcPr>
            <w:tcW w:w="1621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Д= 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</w:rPr>
              <w:t>арм_аттест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 /К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</w:rPr>
              <w:t>общ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 * 100%, где  Д - доля аттестован-ных рабочих мест,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</w:rPr>
              <w:t>арм_аттест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 - количество рабочих средств аттестован-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6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ных в соответствии с требования-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ми,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</w:rPr>
              <w:t>общ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 - общее количество рабочих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мест в администрации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20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40404"/>
                <w:sz w:val="28"/>
              </w:rPr>
            </w:pPr>
            <w:hyperlink r:id="rId9">
              <w:r>
                <w:rPr>
                  <w:rStyle w:val="Style4"/>
                  <w:rFonts w:ascii="Times New Roman" w:hAnsi="Times New Roman"/>
                  <w:color w:val="040404"/>
                  <w:spacing w:val="0"/>
                  <w:kern w:val="0"/>
                  <w:sz w:val="28"/>
                  <w:szCs w:val="20"/>
                  <w:u w:val="none"/>
                </w:rPr>
                <w:t>Указ</w:t>
              </w:r>
            </w:hyperlink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 xml:space="preserve"> Президента Российской Федерации от 7 мая 202 года № 309 "О национальных целях развития Российской Федерации на период до 2030 года и на перспективу до 2036 года"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7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Постановление Правительства РФ от 15 апреля 2014 года № 313 «Об утверждении государственной программы Российской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Федерации "Информационное общество»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НЦ: создание системы эффективного противодействия преступлениям, совершаемым с использованием информационно-телекоммуникационных технологий, и снижения ущерба от их совершения;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8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НЦ:  обеспечение сетевого суверенитета и информационной безопасности 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информационно-телекоммуникационной сети "Интернет".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ГП: к 2030 году обеспечены сетевой суверенитет и информационная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безопасность в сети "Интернет".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управле-ние информа-тизации и информа-ционной безопасности</w:t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10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0"/>
              </w:rPr>
              <w:t>9</w:t>
            </w:r>
          </w:p>
        </w:tc>
      </w:tr>
    </w:tbl>
    <w:p>
      <w:pPr>
        <w:pStyle w:val="ConsPlusNormal11"/>
        <w:widowControl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mc:AlternateContent>
          <mc:Choice Requires="wps">
            <w:drawing>
              <wp:anchor behindDoc="0" distT="3810" distB="3810" distL="3810" distR="3810" simplePos="0" locked="0" layoutInCell="1" allowOverlap="1" relativeHeight="84">
                <wp:simplePos x="0" y="0"/>
                <wp:positionH relativeFrom="column">
                  <wp:posOffset>27305</wp:posOffset>
                </wp:positionH>
                <wp:positionV relativeFrom="page">
                  <wp:posOffset>1050290</wp:posOffset>
                </wp:positionV>
                <wp:extent cx="9070340" cy="0"/>
                <wp:effectExtent l="3810" t="3810" r="3810" b="3810"/>
                <wp:wrapNone/>
                <wp:docPr id="15" name="Picture 2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70200" cy="0"/>
                        </a:xfrm>
                        <a:prstGeom prst="line">
                          <a:avLst/>
                        </a:prstGeom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.15pt,82.7pt" to="716.3pt,82.7pt" ID="Picture 29" stroked="t" o:allowincell="f" style="position:absolute;mso-position-vertical-relative:page">
                <v:stroke color="black" weight="684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ConsPlusNormal11"/>
        <w:widowControl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ОКЕИ — общероссийский классификатор единиц измерения;</w:t>
      </w:r>
    </w:p>
    <w:p>
      <w:pPr>
        <w:pStyle w:val="ConsPlusNormal11"/>
        <w:widowControl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(1) - приводится одно из значений: возрастание, убывание, поддержание;</w:t>
      </w:r>
    </w:p>
    <w:p>
      <w:pPr>
        <w:pStyle w:val="ConsPlusNormal11"/>
        <w:widowControl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(2) - накопительный итог или дискретный показатель;</w:t>
      </w:r>
    </w:p>
    <w:p>
      <w:pPr>
        <w:pStyle w:val="ConsPlusNormal11"/>
        <w:widowControl/>
        <w:ind w:firstLine="709" w:left="0" w:right="0"/>
        <w:jc w:val="both"/>
        <w:rPr>
          <w:rFonts w:ascii="Times New Roman" w:hAnsi="Times New Roman"/>
          <w:color w:val="040404"/>
          <w:sz w:val="28"/>
        </w:rPr>
      </w:pPr>
      <w:r>
        <w:rPr>
          <w:rFonts w:ascii="Times New Roman" w:hAnsi="Times New Roman"/>
          <w:sz w:val="28"/>
        </w:rPr>
        <w:t xml:space="preserve">НЦ- национальные цели развития с соответствии с </w:t>
      </w:r>
      <w:hyperlink r:id="rId10">
        <w:r>
          <w:rPr>
            <w:rStyle w:val="Style4"/>
            <w:rFonts w:ascii="Times New Roman" w:hAnsi="Times New Roman"/>
            <w:color w:val="040404"/>
            <w:sz w:val="28"/>
            <w:u w:val="none"/>
          </w:rPr>
          <w:t>Указом Президента Российской Федерации от 7 мая 2024 года № 309 «О национальных целях развития Российской Федерации на период до 2030 года и на перспективу до 2036 года»</w:t>
        </w:r>
      </w:hyperlink>
      <w:r>
        <w:rPr>
          <w:rFonts w:ascii="Times New Roman" w:hAnsi="Times New Roman"/>
          <w:color w:val="040404"/>
          <w:sz w:val="28"/>
        </w:rPr>
        <w:t>;</w:t>
      </w:r>
    </w:p>
    <w:p>
      <w:pPr>
        <w:pStyle w:val="ConsPlusNormal11"/>
        <w:widowControl/>
        <w:ind w:firstLine="709" w:left="0" w:right="0"/>
        <w:jc w:val="both"/>
        <w:rPr>
          <w:rFonts w:ascii="Times New Roman" w:hAnsi="Times New Roman"/>
          <w:b/>
          <w:color w:val="040404"/>
          <w:sz w:val="28"/>
        </w:rPr>
      </w:pPr>
      <w:r>
        <w:rPr>
          <w:rFonts w:ascii="Times New Roman" w:hAnsi="Times New Roman"/>
          <w:color w:val="040404"/>
          <w:sz w:val="28"/>
        </w:rPr>
        <w:t>ГП- целевые показатели в соответствии с постановлением Правительства Российской Федерации от 15 апреля 2014 года № 313 «Об утверждении государственной программы Российской Федерации "Информационное общество».</w:t>
      </w:r>
    </w:p>
    <w:p>
      <w:pPr>
        <w:pStyle w:val="ConsPlusNormal11"/>
        <w:widowControl/>
        <w:ind w:firstLine="709" w:left="0" w:right="0"/>
        <w:jc w:val="both"/>
        <w:rPr>
          <w:rFonts w:ascii="Times New Roman" w:hAnsi="Times New Roman"/>
          <w:color w:val="040404"/>
          <w:sz w:val="28"/>
        </w:rPr>
      </w:pPr>
      <w:r>
        <w:rPr>
          <w:rFonts w:ascii="Times New Roman" w:hAnsi="Times New Roman"/>
          <w:color w:val="040404"/>
          <w:sz w:val="28"/>
        </w:rPr>
        <w:t>Сроки реализации Программы: 2027-2032 годы.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Этапы реализации Программы не предусмотрены.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2112"/>
        <w:widowControl/>
        <w:jc w:val="center"/>
        <w:rPr>
          <w:b/>
        </w:rPr>
      </w:pPr>
      <w:r>
        <w:rPr>
          <w:b/>
        </w:rPr>
        <w:t>3. Перечень основных мероприятий Программы</w:t>
      </w:r>
    </w:p>
    <w:p>
      <w:pPr>
        <w:pStyle w:val="2112"/>
        <w:widowControl/>
        <w:jc w:val="center"/>
        <w:rPr>
          <w:b/>
        </w:rPr>
      </w:pPr>
      <w:r>
        <w:rPr>
          <w:b/>
        </w:rPr>
      </w:r>
    </w:p>
    <w:p>
      <w:pPr>
        <w:pStyle w:val="2112"/>
        <w:widowControl/>
        <w:jc w:val="center"/>
        <w:rPr>
          <w:b/>
        </w:rPr>
      </w:pPr>
      <w:r>
        <w:rPr>
          <w:b/>
        </w:rPr>
      </w:r>
    </w:p>
    <w:tbl>
      <w:tblPr>
        <w:tblStyle w:val="Style_3"/>
        <w:tblW w:w="14289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60"/>
        <w:gridCol w:w="2943"/>
        <w:gridCol w:w="1842"/>
        <w:gridCol w:w="1369"/>
        <w:gridCol w:w="1213"/>
        <w:gridCol w:w="1240"/>
        <w:gridCol w:w="1236"/>
        <w:gridCol w:w="1241"/>
        <w:gridCol w:w="10"/>
        <w:gridCol w:w="2433"/>
      </w:tblGrid>
      <w:tr>
        <w:trPr>
          <w:trHeight w:val="391" w:hRule="atLeast"/>
        </w:trPr>
        <w:tc>
          <w:tcPr>
            <w:tcW w:w="7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 xml:space="preserve">№ </w:t>
            </w:r>
            <w:r>
              <w:rPr>
                <w:color w:val="000000"/>
                <w:spacing w:val="0"/>
                <w:kern w:val="0"/>
                <w:szCs w:val="20"/>
              </w:rPr>
              <w:t>п/п</w:t>
            </w:r>
          </w:p>
        </w:tc>
        <w:tc>
          <w:tcPr>
            <w:tcW w:w="294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Год реализации</w:t>
            </w:r>
          </w:p>
        </w:tc>
        <w:tc>
          <w:tcPr>
            <w:tcW w:w="629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Объем финансирования, всего (тыс. руб.)</w:t>
            </w:r>
          </w:p>
        </w:tc>
        <w:tc>
          <w:tcPr>
            <w:tcW w:w="2443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Исполнитель мероприятия</w:t>
            </w:r>
          </w:p>
        </w:tc>
      </w:tr>
      <w:tr>
        <w:trPr>
          <w:trHeight w:val="281" w:hRule="atLeast"/>
        </w:trPr>
        <w:tc>
          <w:tcPr>
            <w:tcW w:w="76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294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1842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1369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ВСЕГО</w:t>
            </w:r>
          </w:p>
        </w:tc>
        <w:tc>
          <w:tcPr>
            <w:tcW w:w="4930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в разрезе источников финансирования</w:t>
            </w:r>
          </w:p>
        </w:tc>
        <w:tc>
          <w:tcPr>
            <w:tcW w:w="2443" w:type="dxa"/>
            <w:gridSpan w:val="2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</w:tr>
      <w:tr>
        <w:trPr>
          <w:trHeight w:val="1612" w:hRule="atLeast"/>
        </w:trPr>
        <w:tc>
          <w:tcPr>
            <w:tcW w:w="76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294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1842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1369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Местный бюджет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Краевой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бюджет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Федеральный бюджет</w:t>
            </w: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Внебюджетные источники</w:t>
            </w:r>
          </w:p>
        </w:tc>
        <w:tc>
          <w:tcPr>
            <w:tcW w:w="2443" w:type="dxa"/>
            <w:gridSpan w:val="2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</w:tr>
      <w:tr>
        <w:trPr>
          <w:trHeight w:val="341" w:hRule="atLeast"/>
        </w:trPr>
        <w:tc>
          <w:tcPr>
            <w:tcW w:w="7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1</w:t>
            </w:r>
          </w:p>
        </w:tc>
        <w:tc>
          <w:tcPr>
            <w:tcW w:w="294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2</w:t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3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4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5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6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7</w:t>
            </w: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8</w:t>
            </w:r>
          </w:p>
        </w:tc>
        <w:tc>
          <w:tcPr>
            <w:tcW w:w="244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9</w:t>
            </w:r>
          </w:p>
        </w:tc>
      </w:tr>
      <w:tr>
        <w:trPr>
          <w:trHeight w:val="446" w:hRule="atLeast"/>
        </w:trPr>
        <w:tc>
          <w:tcPr>
            <w:tcW w:w="14287" w:type="dxa"/>
            <w:gridSpan w:val="1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1. Процессная часть </w:t>
            </w:r>
            <w:r>
              <w:rPr>
                <w:color w:val="000000"/>
                <w:spacing w:val="0"/>
                <w:kern w:val="0"/>
                <w:szCs w:val="20"/>
                <w:vertAlign w:val="superscript"/>
              </w:rPr>
              <w:t>1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</w:tr>
      <w:tr>
        <w:trPr>
          <w:trHeight w:val="446" w:hRule="atLeast"/>
        </w:trPr>
        <w:tc>
          <w:tcPr>
            <w:tcW w:w="14287" w:type="dxa"/>
            <w:gridSpan w:val="1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Цель: Организация эффективной деятельности администрации  за счет автоматизации рабочего процесса, модернизации информационно-телекоммуникационной инфраструктуры администрации с использованием современных информационных, телекоммуникационных, цифровых технологий, а также сервисов информационной безопасности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</w:tr>
      <w:tr>
        <w:trPr>
          <w:trHeight w:val="446" w:hRule="atLeast"/>
        </w:trPr>
        <w:tc>
          <w:tcPr>
            <w:tcW w:w="14287" w:type="dxa"/>
            <w:gridSpan w:val="10"/>
            <w:tcBorders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Задачи: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- поддержка и развитие официального Интернет-портала администрации;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- модернизация информационно-телекоммуникационной инфраструктуры администрации, создание условий для развития и совершенствования инфраструктуры администрации;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40404"/>
              </w:rPr>
            </w:pPr>
            <w:r>
              <w:rPr>
                <w:color w:val="040404"/>
                <w:spacing w:val="0"/>
                <w:kern w:val="0"/>
                <w:szCs w:val="20"/>
              </w:rPr>
              <w:t>- внедрение и развитие существующих сервисов электронного взаимодействия органов власти различных уровней в администрации, в том числе, в сфере предоставления муниципальных услуг;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</w:tr>
      <w:tr>
        <w:trPr>
          <w:trHeight w:val="378" w:hRule="atLeast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kern w:val="0"/>
                <w:sz w:val="28"/>
                <w:szCs w:val="20"/>
              </w:rPr>
              <w:t>1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0"/>
              </w:rPr>
              <w:t>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0"/>
              </w:rPr>
              <w:t>3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0"/>
              </w:rPr>
              <w:t>4</w:t>
            </w:r>
          </w:p>
        </w:tc>
        <w:tc>
          <w:tcPr>
            <w:tcW w:w="1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0"/>
              </w:rPr>
              <w:t>5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0"/>
              </w:rPr>
              <w:t>6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0"/>
              </w:rPr>
              <w:t>7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0"/>
              </w:rPr>
              <w:t>8</w:t>
            </w:r>
          </w:p>
        </w:tc>
        <w:tc>
          <w:tcPr>
            <w:tcW w:w="2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9</w:t>
            </w:r>
          </w:p>
        </w:tc>
      </w:tr>
      <w:tr>
        <w:trPr>
          <w:trHeight w:val="446" w:hRule="atLeast"/>
        </w:trPr>
        <w:tc>
          <w:tcPr>
            <w:tcW w:w="14287" w:type="dxa"/>
            <w:gridSpan w:val="10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- обеспечение администрации необходимыми программными продуктами и системами, организация и обеспечение работоспособности сети обмена данными между структурными подразделениями администрации и органами исполнительной власти</w:t>
            </w:r>
          </w:p>
        </w:tc>
      </w:tr>
      <w:tr>
        <w:trPr>
          <w:trHeight w:val="200" w:hRule="atLeast"/>
        </w:trPr>
        <w:tc>
          <w:tcPr>
            <w:tcW w:w="14287" w:type="dxa"/>
            <w:gridSpan w:val="1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1.1. Мероприятие: Использование информационных и коммуникационных технологий в муниципальном управлении администрации Северского муниципального района, общесистемные мероприятия</w:t>
            </w:r>
          </w:p>
        </w:tc>
      </w:tr>
      <w:tr>
        <w:trPr>
          <w:trHeight w:val="393" w:hRule="atLeast"/>
        </w:trPr>
        <w:tc>
          <w:tcPr>
            <w:tcW w:w="76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  <w:tc>
          <w:tcPr>
            <w:tcW w:w="2943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в том числе: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Поставка компью-теров, оргтехники, программного обес-печения, обслужи-вание информа-ционных систем, хостинг Интернет-портала, услуги по заправке картриджей, ремонту оргтехники, услуги связи, поставка картриджей, материалов и комплектующих, утилизации оргтехники, оплата кредиторской задол-женнсти за предыду-щий год и другое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2027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10575,87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10575,87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3" w:type="dxa"/>
            <w:gridSpan w:val="2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начальник управления информатизации и информационной безопасности Н.Н.Сергиевская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 w:val="false"/>
              <w:suppressAutoHyphens w:val="true"/>
              <w:spacing w:lineRule="auto" w:line="240" w:before="0" w:after="0"/>
              <w:ind w:hanging="0" w:left="57" w:right="283"/>
              <w:jc w:val="both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</w:tr>
      <w:tr>
        <w:trPr>
          <w:trHeight w:val="378" w:hRule="atLeast"/>
        </w:trPr>
        <w:tc>
          <w:tcPr>
            <w:tcW w:w="760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29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2028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10575,87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10575,87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3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</w:tr>
      <w:tr>
        <w:trPr>
          <w:trHeight w:val="378" w:hRule="atLeast"/>
        </w:trPr>
        <w:tc>
          <w:tcPr>
            <w:tcW w:w="760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29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2029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10575,87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10575,87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0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3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</w:tr>
      <w:tr>
        <w:trPr>
          <w:trHeight w:val="378" w:hRule="atLeast"/>
        </w:trPr>
        <w:tc>
          <w:tcPr>
            <w:tcW w:w="760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29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2030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0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0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0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3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</w:tr>
      <w:tr>
        <w:trPr>
          <w:trHeight w:val="378" w:hRule="atLeast"/>
        </w:trPr>
        <w:tc>
          <w:tcPr>
            <w:tcW w:w="760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29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2031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0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0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0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3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</w:tr>
      <w:tr>
        <w:trPr>
          <w:trHeight w:val="378" w:hRule="atLeast"/>
        </w:trPr>
        <w:tc>
          <w:tcPr>
            <w:tcW w:w="760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29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2032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0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0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0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3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</w:tr>
      <w:tr>
        <w:trPr>
          <w:trHeight w:val="378" w:hRule="atLeast"/>
        </w:trPr>
        <w:tc>
          <w:tcPr>
            <w:tcW w:w="760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29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ИТОГО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31727,61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31727,61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0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  <w:tc>
          <w:tcPr>
            <w:tcW w:w="1241" w:type="dxa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  <w:tc>
          <w:tcPr>
            <w:tcW w:w="2443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</w:tr>
      <w:tr>
        <w:trPr/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40404"/>
              </w:rPr>
            </w:pPr>
            <w:r>
              <w:rPr>
                <w:color w:val="040404"/>
                <w:spacing w:val="0"/>
                <w:kern w:val="0"/>
                <w:szCs w:val="20"/>
              </w:rPr>
              <w:t>1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4</w:t>
            </w:r>
          </w:p>
        </w:tc>
        <w:tc>
          <w:tcPr>
            <w:tcW w:w="1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5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6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7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8</w:t>
            </w:r>
          </w:p>
        </w:tc>
        <w:tc>
          <w:tcPr>
            <w:tcW w:w="2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9</w:t>
            </w:r>
          </w:p>
        </w:tc>
      </w:tr>
      <w:tr>
        <w:trPr/>
        <w:tc>
          <w:tcPr>
            <w:tcW w:w="14287" w:type="dxa"/>
            <w:gridSpan w:val="10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40404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Задачи: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40404"/>
              </w:rPr>
            </w:pPr>
            <w:r>
              <w:rPr>
                <w:color w:val="040404"/>
                <w:spacing w:val="0"/>
                <w:kern w:val="0"/>
                <w:szCs w:val="20"/>
              </w:rPr>
              <w:t>- обеспечение информационной безопасности информационных ресурсов в сети и обеспечение защиты персональных данных;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 xml:space="preserve">– </w:t>
            </w: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аттестация и переаттестация объектов информатизации по требованиям безопасности информации, техническое сопровождение и контроль эффективности средств защиты информации на защищаемых объектах информатизации.</w:t>
            </w:r>
          </w:p>
        </w:tc>
      </w:tr>
      <w:tr>
        <w:trPr/>
        <w:tc>
          <w:tcPr>
            <w:tcW w:w="14287" w:type="dxa"/>
            <w:gridSpan w:val="1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1.2. Мероприятие: Мероприятия по обеспечению защиты и безопасности информационных ресурсов</w:t>
            </w:r>
          </w:p>
        </w:tc>
      </w:tr>
      <w:tr>
        <w:trPr>
          <w:trHeight w:val="370" w:hRule="atLeast"/>
        </w:trPr>
        <w:tc>
          <w:tcPr>
            <w:tcW w:w="76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943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в том числе: поставка технических и программных средств защиты информации, электронных ключей, обеспечение сопро-вождения средств защиты информации, серверов, услуги по аттестации информа-ционных систем персональных данных, оплата кредиторской задолженности за пре-дыдущий год и другое</w:t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2027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5966,23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5966,23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3" w:type="dxa"/>
            <w:gridSpan w:val="2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начальник управления информатизации и информационной безопасности Н.Н.Сергиевская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</w:tr>
      <w:tr>
        <w:trPr/>
        <w:tc>
          <w:tcPr>
            <w:tcW w:w="760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29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2028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5966,23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5966,23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0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3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</w:tr>
      <w:tr>
        <w:trPr>
          <w:trHeight w:val="377" w:hRule="atLeast"/>
        </w:trPr>
        <w:tc>
          <w:tcPr>
            <w:tcW w:w="760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29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2029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5966,23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5966,23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0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3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</w:tr>
      <w:tr>
        <w:trPr/>
        <w:tc>
          <w:tcPr>
            <w:tcW w:w="760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29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2030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0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0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0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3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</w:tr>
      <w:tr>
        <w:trPr/>
        <w:tc>
          <w:tcPr>
            <w:tcW w:w="760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29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2031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0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0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0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3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</w:tr>
      <w:tr>
        <w:trPr/>
        <w:tc>
          <w:tcPr>
            <w:tcW w:w="760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29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2032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0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0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0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3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</w:tr>
      <w:tr>
        <w:trPr>
          <w:trHeight w:val="2062" w:hRule="atLeast"/>
        </w:trPr>
        <w:tc>
          <w:tcPr>
            <w:tcW w:w="760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29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ИТОГО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17898,69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17898,69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0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  <w:tc>
          <w:tcPr>
            <w:tcW w:w="1241" w:type="dxa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  <w:tc>
          <w:tcPr>
            <w:tcW w:w="2443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</w:tr>
      <w:tr>
        <w:trPr>
          <w:trHeight w:val="173" w:hRule="atLeast"/>
        </w:trPr>
        <w:tc>
          <w:tcPr>
            <w:tcW w:w="370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ВСЕГО по мероприятиям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2027год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16542,1</w:t>
            </w:r>
          </w:p>
        </w:tc>
        <w:tc>
          <w:tcPr>
            <w:tcW w:w="1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16542,1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0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9</w:t>
            </w:r>
          </w:p>
        </w:tc>
      </w:tr>
      <w:tr>
        <w:trPr>
          <w:trHeight w:val="243" w:hRule="atLeast"/>
        </w:trPr>
        <w:tc>
          <w:tcPr>
            <w:tcW w:w="3703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2028 год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16542,1</w:t>
            </w:r>
          </w:p>
        </w:tc>
        <w:tc>
          <w:tcPr>
            <w:tcW w:w="1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16542,1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0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3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</w:tr>
      <w:tr>
        <w:trPr>
          <w:trHeight w:val="456" w:hRule="atLeast"/>
        </w:trPr>
        <w:tc>
          <w:tcPr>
            <w:tcW w:w="3703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2029 год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16542,1</w:t>
            </w:r>
          </w:p>
        </w:tc>
        <w:tc>
          <w:tcPr>
            <w:tcW w:w="1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16542,1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0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3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</w:tr>
      <w:tr>
        <w:trPr/>
        <w:tc>
          <w:tcPr>
            <w:tcW w:w="3703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2030 год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0</w:t>
            </w:r>
          </w:p>
        </w:tc>
        <w:tc>
          <w:tcPr>
            <w:tcW w:w="1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0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3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</w:tr>
      <w:tr>
        <w:trPr/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3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4</w:t>
            </w:r>
          </w:p>
        </w:tc>
        <w:tc>
          <w:tcPr>
            <w:tcW w:w="1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5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6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7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8</w:t>
            </w:r>
          </w:p>
        </w:tc>
        <w:tc>
          <w:tcPr>
            <w:tcW w:w="2443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</w:tr>
      <w:tr>
        <w:trPr/>
        <w:tc>
          <w:tcPr>
            <w:tcW w:w="3703" w:type="dxa"/>
            <w:gridSpan w:val="2"/>
            <w:vMerge w:val="restart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  <w:tc>
          <w:tcPr>
            <w:tcW w:w="184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2031 год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13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3" w:type="dxa"/>
            <w:gridSpan w:val="2"/>
            <w:vMerge w:val="restar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</w:tr>
      <w:tr>
        <w:trPr/>
        <w:tc>
          <w:tcPr>
            <w:tcW w:w="3703" w:type="dxa"/>
            <w:gridSpan w:val="2"/>
            <w:vMerge w:val="continue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2032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0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0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3" w:type="dxa"/>
            <w:gridSpan w:val="2"/>
            <w:vMerge w:val="continue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</w:tr>
      <w:tr>
        <w:trPr/>
        <w:tc>
          <w:tcPr>
            <w:tcW w:w="3703" w:type="dxa"/>
            <w:gridSpan w:val="2"/>
            <w:vMerge w:val="continue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ИТОГО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49626,3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highlight w:val="white"/>
              </w:rPr>
              <w:t>49626,3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3" w:type="dxa"/>
            <w:gridSpan w:val="2"/>
            <w:vMerge w:val="continue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</w:tr>
      <w:tr>
        <w:trPr>
          <w:trHeight w:val="426" w:hRule="atLeast"/>
        </w:trPr>
        <w:tc>
          <w:tcPr>
            <w:tcW w:w="11854" w:type="dxa"/>
            <w:gridSpan w:val="9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2. Проектная часть</w:t>
            </w:r>
            <w:r>
              <w:rPr>
                <w:color w:val="000000"/>
                <w:spacing w:val="0"/>
                <w:kern w:val="0"/>
                <w:szCs w:val="20"/>
              </w:rPr>
              <w:t> </w:t>
            </w:r>
            <w:r>
              <w:rPr>
                <w:color w:val="000000"/>
                <w:spacing w:val="0"/>
                <w:kern w:val="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 отсутствует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24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</w:tr>
    </w:tbl>
    <w:p>
      <w:pPr>
        <w:pStyle w:val="2112"/>
        <w:widowControl/>
        <w:jc w:val="center"/>
        <w:rPr>
          <w:b/>
        </w:rPr>
      </w:pPr>
      <w:r>
        <w:rPr>
          <w:b/>
        </w:rPr>
      </w:r>
    </w:p>
    <w:p>
      <w:pPr>
        <w:pStyle w:val="2112"/>
        <w:widowControl/>
        <w:jc w:val="center"/>
        <w:rPr>
          <w:b/>
        </w:rPr>
      </w:pPr>
      <w:r>
        <w:rPr>
          <w:b/>
        </w:rPr>
      </w:r>
    </w:p>
    <w:p>
      <w:pPr>
        <w:pStyle w:val="2112"/>
        <w:widowControl/>
        <w:jc w:val="center"/>
        <w:rPr>
          <w:b/>
        </w:rPr>
      </w:pPr>
      <w:r>
        <w:rPr>
          <w:b/>
        </w:rPr>
        <w:t xml:space="preserve">Перечень мероприятий Программы с отражением непосредственного </w:t>
      </w:r>
    </w:p>
    <w:p>
      <w:pPr>
        <w:pStyle w:val="2112"/>
        <w:widowControl/>
        <w:jc w:val="center"/>
        <w:rPr>
          <w:b/>
        </w:rPr>
      </w:pPr>
      <w:r>
        <w:rPr>
          <w:b/>
        </w:rPr>
        <w:t>результата и связи с целевыми показателями</w:t>
      </w:r>
    </w:p>
    <w:p>
      <w:pPr>
        <w:pStyle w:val="Normal"/>
        <w:rPr>
          <w:sz w:val="28"/>
        </w:rPr>
      </w:pPr>
      <w:r>
        <w:rPr>
          <w:sz w:val="28"/>
        </w:rPr>
      </w:r>
    </w:p>
    <w:tbl>
      <w:tblPr>
        <w:tblStyle w:val="Style_3"/>
        <w:tblW w:w="14200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42"/>
        <w:gridCol w:w="2820"/>
        <w:gridCol w:w="1948"/>
        <w:gridCol w:w="1372"/>
        <w:gridCol w:w="1376"/>
        <w:gridCol w:w="1498"/>
        <w:gridCol w:w="1691"/>
        <w:gridCol w:w="2651"/>
        <w:gridCol w:w="2"/>
        <w:gridCol w:w="1"/>
      </w:tblGrid>
      <w:tr>
        <w:trPr/>
        <w:tc>
          <w:tcPr>
            <w:tcW w:w="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 xml:space="preserve">№ </w:t>
            </w:r>
            <w:r>
              <w:rPr>
                <w:color w:val="000000"/>
                <w:spacing w:val="0"/>
                <w:kern w:val="0"/>
                <w:szCs w:val="20"/>
              </w:rPr>
              <w:t>п/п</w:t>
            </w:r>
          </w:p>
        </w:tc>
        <w:tc>
          <w:tcPr>
            <w:tcW w:w="2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Наименования мероприятий</w:t>
            </w:r>
          </w:p>
        </w:tc>
        <w:tc>
          <w:tcPr>
            <w:tcW w:w="19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Ответствен-ный исполнитель мероприятия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(с указанием Ф.И.О., должности, организации)</w:t>
            </w:r>
          </w:p>
        </w:tc>
        <w:tc>
          <w:tcPr>
            <w:tcW w:w="2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срок</w:t>
            </w:r>
          </w:p>
        </w:tc>
        <w:tc>
          <w:tcPr>
            <w:tcW w:w="1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Непосредственный результат реализации мероприя-тий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(по годам) с указанием единиц измерения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(по ОКЕИ)</w:t>
            </w:r>
          </w:p>
        </w:tc>
        <w:tc>
          <w:tcPr>
            <w:tcW w:w="1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Вид документа, подтверждающий выполнение (достижение) мероприятия (результата)</w:t>
            </w:r>
          </w:p>
        </w:tc>
        <w:tc>
          <w:tcPr>
            <w:tcW w:w="26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Связь с целевыми показателями муниципальной программы</w:t>
            </w:r>
          </w:p>
        </w:tc>
        <w:tc>
          <w:tcPr>
            <w:tcW w:w="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</w:tr>
      <w:tr>
        <w:trPr/>
        <w:tc>
          <w:tcPr>
            <w:tcW w:w="8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28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19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начало реализа-ции</w:t>
            </w:r>
          </w:p>
        </w:tc>
        <w:tc>
          <w:tcPr>
            <w:tcW w:w="13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окончание реализации</w:t>
            </w:r>
          </w:p>
        </w:tc>
        <w:tc>
          <w:tcPr>
            <w:tcW w:w="14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16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265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</w:r>
          </w:p>
        </w:tc>
        <w:tc>
          <w:tcPr>
            <w:tcW w:w="1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</w:tr>
      <w:tr>
        <w:trPr>
          <w:trHeight w:val="341" w:hRule="atLeast"/>
        </w:trPr>
        <w:tc>
          <w:tcPr>
            <w:tcW w:w="84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1</w:t>
            </w:r>
          </w:p>
        </w:tc>
        <w:tc>
          <w:tcPr>
            <w:tcW w:w="28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2</w:t>
            </w:r>
          </w:p>
        </w:tc>
        <w:tc>
          <w:tcPr>
            <w:tcW w:w="19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3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4</w:t>
            </w:r>
          </w:p>
        </w:tc>
        <w:tc>
          <w:tcPr>
            <w:tcW w:w="13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5</w:t>
            </w:r>
          </w:p>
        </w:tc>
        <w:tc>
          <w:tcPr>
            <w:tcW w:w="14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6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7</w:t>
            </w:r>
          </w:p>
        </w:tc>
        <w:tc>
          <w:tcPr>
            <w:tcW w:w="2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8</w:t>
            </w:r>
          </w:p>
        </w:tc>
        <w:tc>
          <w:tcPr>
            <w:tcW w:w="1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</w:tr>
      <w:tr>
        <w:trPr>
          <w:trHeight w:val="366" w:hRule="atLeast"/>
        </w:trPr>
        <w:tc>
          <w:tcPr>
            <w:tcW w:w="1419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1. Процессная часть </w:t>
            </w:r>
            <w:r>
              <w:rPr>
                <w:caps/>
                <w:color w:val="000000"/>
                <w:spacing w:val="0"/>
                <w:kern w:val="0"/>
                <w:szCs w:val="20"/>
                <w:vertAlign w:val="superscript"/>
              </w:rPr>
              <w:t>1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</w:tr>
      <w:tr>
        <w:trPr>
          <w:trHeight w:val="400" w:hRule="atLeast"/>
        </w:trPr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1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2</w:t>
            </w:r>
          </w:p>
        </w:tc>
        <w:tc>
          <w:tcPr>
            <w:tcW w:w="1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4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5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6</w:t>
            </w:r>
          </w:p>
        </w:tc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7</w:t>
            </w:r>
          </w:p>
        </w:tc>
        <w:tc>
          <w:tcPr>
            <w:tcW w:w="2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8</w:t>
            </w:r>
          </w:p>
        </w:tc>
        <w:tc>
          <w:tcPr>
            <w:tcW w:w="1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</w:tr>
      <w:tr>
        <w:trPr>
          <w:trHeight w:val="805" w:hRule="atLeast"/>
        </w:trPr>
        <w:tc>
          <w:tcPr>
            <w:tcW w:w="8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1.1.</w:t>
            </w:r>
          </w:p>
        </w:tc>
        <w:tc>
          <w:tcPr>
            <w:tcW w:w="1335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Мероприятие: Использование информационных и коммуникационных технологий в муниципальном управлении Северского муниципального района Краснодарского края, общесистемные мероприятия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</w:tr>
      <w:tr>
        <w:trPr>
          <w:trHeight w:val="805" w:hRule="atLeast"/>
        </w:trPr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1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в том числе: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Поставка компью-теров, оргтехники, программного обес-печения, обслужи-вание информацион-ных систем,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 xml:space="preserve">хостинг   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Интернет-портала, услуги по заправке картриджей, ремонту оргтехники, услуги связи, поставка картриджей, материалов и комплектующих, услуги по списанию,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утилизации оргтехники, оплата кредиторской задолженности за предыдущий год  и другое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mc:AlternateContent>
                <mc:Choice Requires="wps">
                  <w:drawing>
                    <wp:anchor behindDoc="0" distT="635" distB="635" distL="635" distR="635" simplePos="0" locked="0" layoutInCell="1" allowOverlap="1" relativeHeight="85">
                      <wp:simplePos x="0" y="0"/>
                      <wp:positionH relativeFrom="column">
                        <wp:posOffset>-614045</wp:posOffset>
                      </wp:positionH>
                      <wp:positionV relativeFrom="paragraph">
                        <wp:posOffset>13970</wp:posOffset>
                      </wp:positionV>
                      <wp:extent cx="9097010" cy="7620"/>
                      <wp:effectExtent l="635" t="635" r="635" b="635"/>
                      <wp:wrapNone/>
                      <wp:docPr id="16" name="Picture 3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96840" cy="756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48.35pt,1.1pt" to="667.9pt,1.65pt" ID="Picture 31" stroked="t" o:allowincell="t" style="position:absolute">
                      <v:stroke color="black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начальник управления информати-зации и информа-ционной безопасности Н.Н.Сергиевская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01.01.2027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01.01.2028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01.01.2029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01.01.2030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01.01.2031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01.01.2032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4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31.12.2027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31.12.2028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31.12.2029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31.12.2030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31.12.2031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31.12.2032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1. закупка включена в план-график закупок.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2. сведения о муниципальном контракте внесены в реестр контрактов, заключен-ных заказчиками по результа-там закупок.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3. произведена приемка поставлен-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6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ных товаров, выполненных работ, оказанных услуг.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4. произведена оплата товаров, выполненных работ, оказанных услуг по муниципальному контракту.</w:t>
            </w:r>
          </w:p>
        </w:tc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акты выполнен-ных работ (услуг);</w:t>
            </w:r>
          </w:p>
          <w:p>
            <w:pPr>
              <w:pStyle w:val="1114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товар-ные накладные;</w:t>
            </w:r>
          </w:p>
          <w:p>
            <w:pPr>
              <w:pStyle w:val="1114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акты предоставления лицензионных прав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7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  <w:tc>
          <w:tcPr>
            <w:tcW w:w="2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связь с целевыми показателями № 1,2,3,4,5,6,7 Программы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8</w:t>
            </w:r>
          </w:p>
        </w:tc>
        <w:tc>
          <w:tcPr>
            <w:tcW w:w="1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</w:tr>
      <w:tr>
        <w:trPr>
          <w:trHeight w:val="444" w:hRule="atLeast"/>
        </w:trPr>
        <w:tc>
          <w:tcPr>
            <w:tcW w:w="8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1.2.</w:t>
            </w:r>
          </w:p>
        </w:tc>
        <w:tc>
          <w:tcPr>
            <w:tcW w:w="1335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Cs w:val="20"/>
              </w:rPr>
              <w:t>Мероприятие: Мероприятия по обеспечению защиты и безопасности информационных ресурсов</w:t>
            </w:r>
          </w:p>
        </w:tc>
      </w:tr>
      <w:tr>
        <w:trPr>
          <w:trHeight w:val="569" w:hRule="atLeast"/>
        </w:trPr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1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mc:AlternateContent>
                <mc:Choice Requires="wps">
                  <w:drawing>
                    <wp:anchor behindDoc="0" distT="635" distB="635" distL="635" distR="635" simplePos="0" locked="0" layoutInCell="1" allowOverlap="1" relativeHeight="86">
                      <wp:simplePos x="0" y="0"/>
                      <wp:positionH relativeFrom="column">
                        <wp:posOffset>9562465</wp:posOffset>
                      </wp:positionH>
                      <wp:positionV relativeFrom="paragraph">
                        <wp:posOffset>11430</wp:posOffset>
                      </wp:positionV>
                      <wp:extent cx="147320" cy="635"/>
                      <wp:effectExtent l="635" t="635" r="635" b="635"/>
                      <wp:wrapNone/>
                      <wp:docPr id="17" name="Picture 3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7240" cy="72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3465a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752.95pt,0.9pt" to="764.5pt,0.9pt" ID="Picture 32" stroked="t" o:allowincell="t" style="position:absolute">
                      <v:stroke color="#3465a4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  <mc:AlternateContent>
                <mc:Choice Requires="wps">
                  <w:drawing>
                    <wp:anchor behindDoc="0" distT="635" distB="635" distL="635" distR="635" simplePos="0" locked="0" layoutInCell="1" allowOverlap="1" relativeHeight="94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7620</wp:posOffset>
                      </wp:positionV>
                      <wp:extent cx="8970645" cy="26035"/>
                      <wp:effectExtent l="635" t="635" r="635" b="635"/>
                      <wp:wrapNone/>
                      <wp:docPr id="18" name="Picture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70480" cy="2592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0.25pt,0.6pt" to="706.55pt,2.6pt" ID="Picture 1" stroked="t" o:allowincell="t" style="position:absolute">
                      <v:stroke color="black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1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mc:AlternateContent>
                <mc:Choice Requires="wps">
                  <w:drawing>
                    <wp:anchor behindDoc="0" distT="635" distB="635" distL="635" distR="635" simplePos="0" locked="0" layoutInCell="1" allowOverlap="1" relativeHeight="8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2540</wp:posOffset>
                      </wp:positionV>
                      <wp:extent cx="9005570" cy="9525"/>
                      <wp:effectExtent l="635" t="635" r="635" b="635"/>
                      <wp:wrapNone/>
                      <wp:docPr id="19" name="Picture 3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9005400" cy="936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0.6pt,0.2pt" to="709.65pt,0.9pt" ID="Picture 34" stroked="t" o:allowincell="t" style="position:absolute;flip:y">
                      <v:stroke color="black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в том числе: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Поставка техничес-ких и программных средств защиты информации, элек-тронных ключей, обеспечение сопро-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вождения средств защиты информации,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2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серверов, услуги по аттестации информационных систем персональных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данных, оплата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кредиторской задолженности за предыдущий год и другое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2</w:t>
            </w:r>
          </w:p>
        </w:tc>
        <w:tc>
          <w:tcPr>
            <w:tcW w:w="1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начальник управления информати-зации информацион-ной безопасности Н.Н.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Сергиевская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3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3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01.01.2027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01.01.2028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01.01.2029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01.01.2030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01.01.2031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01.01.2032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4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4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31.12.2027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31.12.2028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31.12.2029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31.12.2030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31.12.2031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31.12.2032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5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5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1. закупка включена в план-график закупок.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2. сведения о муници-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пальном контракте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6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внесены в реестр контрактов, заключен-ных заказчика-ми по результа-там закупок.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3. произведе-на приемка поставлен-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ных товаров, выполнен-ных работ, оказанных услуг.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4. произве-дена оплата товаров, выполнен-ных работ, оказанных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6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</w:rPr>
            </w:pPr>
            <w:r>
              <mc:AlternateContent>
                <mc:Choice Requires="wps">
                  <w:drawing>
                    <wp:anchor behindDoc="0" distT="635" distB="635" distL="635" distR="635" simplePos="0" locked="0" layoutInCell="1" allowOverlap="1" relativeHeight="88">
                      <wp:simplePos x="0" y="0"/>
                      <wp:positionH relativeFrom="column">
                        <wp:posOffset>4255135</wp:posOffset>
                      </wp:positionH>
                      <wp:positionV relativeFrom="paragraph">
                        <wp:posOffset>62865</wp:posOffset>
                      </wp:positionV>
                      <wp:extent cx="147320" cy="34290"/>
                      <wp:effectExtent l="635" t="635" r="635" b="635"/>
                      <wp:wrapNone/>
                      <wp:docPr id="20" name="Picture 3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47240" cy="3420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3465a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335.05pt,4.95pt" to="346.6pt,7.6pt" ID="Picture 36" stroked="t" o:allowincell="t" style="position:absolute;flip:y">
                      <v:stroke color="#3465a4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color w:val="000000"/>
                <w:spacing w:val="0"/>
                <w:kern w:val="0"/>
                <w:szCs w:val="20"/>
              </w:rPr>
              <w:t>услуг по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муници-пальному контракту.</w:t>
            </w:r>
          </w:p>
        </w:tc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4"/>
              <w:widowControl/>
              <w:numPr>
                <w:ilvl w:val="0"/>
                <w:numId w:val="3"/>
              </w:numPr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акты выполнен-ных работ (услуг);</w:t>
            </w:r>
          </w:p>
          <w:p>
            <w:pPr>
              <w:pStyle w:val="1114"/>
              <w:widowControl/>
              <w:numPr>
                <w:ilvl w:val="0"/>
                <w:numId w:val="3"/>
              </w:numPr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товар-ные накладные;</w:t>
            </w:r>
          </w:p>
          <w:p>
            <w:pPr>
              <w:pStyle w:val="Normal"/>
              <w:widowControl/>
              <w:numPr>
                <w:ilvl w:val="0"/>
                <w:numId w:val="3"/>
              </w:numPr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акты предоставле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7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ния лицензион-ных прав</w:t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7</w:t>
            </w:r>
          </w:p>
        </w:tc>
        <w:tc>
          <w:tcPr>
            <w:tcW w:w="2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связь с целевыми показателями № 8,9 Программы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8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8</w:t>
            </w:r>
          </w:p>
        </w:tc>
        <w:tc>
          <w:tcPr>
            <w:tcW w:w="1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</w:r>
          </w:p>
        </w:tc>
      </w:tr>
      <w:tr>
        <w:trPr>
          <w:trHeight w:val="569" w:hRule="atLeast"/>
        </w:trPr>
        <w:tc>
          <w:tcPr>
            <w:tcW w:w="1419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114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2. Проектная часть</w:t>
            </w:r>
            <w:r>
              <w:rPr>
                <w:color w:val="000000"/>
                <w:spacing w:val="0"/>
                <w:kern w:val="0"/>
                <w:szCs w:val="20"/>
                <w:vertAlign w:val="superscript"/>
              </w:rPr>
              <w:t xml:space="preserve"> 2</w:t>
            </w:r>
            <w:r>
              <w:rPr>
                <w:color w:val="000000"/>
                <w:spacing w:val="0"/>
                <w:kern w:val="0"/>
                <w:szCs w:val="20"/>
              </w:rPr>
              <w:t xml:space="preserve">   - отсутствует</w:t>
            </w:r>
          </w:p>
        </w:tc>
      </w:tr>
    </w:tbl>
    <w:p>
      <w:pPr>
        <w:pStyle w:val="Normal"/>
        <w:widowControl/>
        <w:ind w:hanging="0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ab/>
        <w:t>ОКЕИ – общероссийский классификатор единиц измерения.</w:t>
      </w:r>
    </w:p>
    <w:p>
      <w:pPr>
        <w:pStyle w:val="Normal"/>
        <w:widowControl/>
        <w:ind w:hanging="0" w:left="0" w:right="0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 xml:space="preserve"> Раздел указывается при наличии процессной части муниципальной программы, в случае отсутствия останется пустым.</w:t>
      </w:r>
    </w:p>
    <w:p>
      <w:pPr>
        <w:pStyle w:val="Normal"/>
        <w:widowControl/>
        <w:ind w:hanging="0" w:left="0" w:right="0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 xml:space="preserve"> Раздел указывается при наличии проектной части муниципальной программы, в случае отсутствия останется пустым.</w:t>
      </w:r>
    </w:p>
    <w:p>
      <w:pPr>
        <w:pStyle w:val="ConsPlusNormal11"/>
        <w:widowControl/>
        <w:ind w:firstLine="709" w:left="0" w:right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4111"/>
        <w:rPr/>
      </w:pPr>
      <w:bookmarkStart w:id="12" w:name="sub_1700"/>
      <w:bookmarkEnd w:id="12"/>
      <w:r>
        <w:rPr/>
        <w:t>4.  Методика оценки эффективности реализации Программы</w:t>
      </w:r>
    </w:p>
    <w:p>
      <w:pPr>
        <w:pStyle w:val="ConsPlusNormal11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2112"/>
        <w:rPr/>
      </w:pPr>
      <w:r>
        <w:rPr/>
        <w:t>Методика оценки эффективности реализации муниципальной программы предусматривает возможность проведения оценки ее эффективности в течение реализации Программы не реже чем один раз в год в соответствии с приложением №4 «Типовая методика оценки эффективности реализации муниципальной программы»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 Краснодарского края, утвержденного постановлением администрации муниципального образования Северский район Краснодарского края от 21 мая 2026 года №725 (далее- Порядок).</w:t>
      </w:r>
    </w:p>
    <w:p>
      <w:pPr>
        <w:pStyle w:val="4111"/>
        <w:rPr/>
      </w:pPr>
      <w:r>
        <w:rPr/>
        <w:t>5. Механизм реализации муниципальной программы</w:t>
      </w:r>
    </w:p>
    <w:p>
      <w:pPr>
        <w:pStyle w:val="4111"/>
        <w:rPr/>
      </w:pPr>
      <w:r>
        <w:rPr/>
      </w:r>
    </w:p>
    <w:p>
      <w:pPr>
        <w:pStyle w:val="2112"/>
        <w:rPr/>
      </w:pPr>
      <w:r>
        <w:rPr/>
        <w:t>Механизм реализации Программы предполагает закупку товаров, работ, услуг для государственных нужд за счёт средств местного бюджета в соответствии с Федеральным законом от 5 апреля 2013 года № 44-ФЗ «О контрактной системе в сфере закупок товаров, работ, услуг для обеспечения государственных и муниципальных нужд».</w:t>
      </w:r>
    </w:p>
    <w:p>
      <w:pPr>
        <w:pStyle w:val="2112"/>
        <w:rPr/>
      </w:pPr>
      <w:r>
        <w:rPr/>
        <w:t>Реализация муниципальной программы проводится в соответствии с Порядком, в том числе:</w:t>
      </w:r>
    </w:p>
    <w:p>
      <w:pPr>
        <w:pStyle w:val="2112"/>
        <w:rPr/>
      </w:pPr>
      <w:r>
        <w:rPr/>
        <w:t>Текущее управление муниципальной программой осуществляет Координатор (ответственный Исполнитель), который:</w:t>
      </w:r>
    </w:p>
    <w:p>
      <w:pPr>
        <w:pStyle w:val="2112"/>
        <w:rPr/>
      </w:pPr>
      <w:r>
        <w:rPr/>
        <w:t>обеспечивает разработку Программы;</w:t>
      </w:r>
    </w:p>
    <w:p>
      <w:pPr>
        <w:pStyle w:val="2112"/>
        <w:rPr/>
      </w:pPr>
      <w:r>
        <w:rPr/>
        <w:t>формирует структуру Программы;</w:t>
      </w:r>
    </w:p>
    <w:p>
      <w:pPr>
        <w:pStyle w:val="2112"/>
        <w:rPr/>
      </w:pPr>
      <w:r>
        <w:rPr/>
        <w:t>организует реализацию Программы;</w:t>
      </w:r>
    </w:p>
    <w:p>
      <w:pPr>
        <w:pStyle w:val="2112"/>
        <w:rPr/>
      </w:pPr>
      <w:r>
        <w:rPr/>
        <w:t>принимает решение о внесении в установленном порядке изменений в Программу;</w:t>
      </w:r>
    </w:p>
    <w:p>
      <w:pPr>
        <w:pStyle w:val="2112"/>
        <w:rPr/>
      </w:pPr>
      <w:r>
        <w:rPr/>
        <w:t>несет ответственность за достижение целей, задач и целевых показателей Программы;</w:t>
      </w:r>
    </w:p>
    <w:p>
      <w:pPr>
        <w:pStyle w:val="2112"/>
        <w:rPr/>
      </w:pPr>
      <w:r>
        <w:rPr/>
        <w:t>осуществляет подготовку предложений по объемам и источникам финансирования реализации Программы;</w:t>
      </w:r>
    </w:p>
    <w:p>
      <w:pPr>
        <w:pStyle w:val="2112"/>
        <w:rPr/>
      </w:pPr>
      <w:r>
        <w:rPr/>
        <w:t>осуществляет мониторинг и анализ отчетности Программы;</w:t>
      </w:r>
    </w:p>
    <w:p>
      <w:pPr>
        <w:pStyle w:val="2112"/>
        <w:rPr/>
      </w:pPr>
      <w:r>
        <w:rPr/>
        <w:t>ежегодно проводит оценку эффективности реализации Программы;</w:t>
      </w:r>
    </w:p>
    <w:p>
      <w:pPr>
        <w:pStyle w:val="2112"/>
        <w:rPr/>
      </w:pPr>
      <w:r>
        <w:rPr/>
        <w:t>готовит ежегодный доклад о ходе реализации Программы и оценке эффективности её реализации (доклад о ходе реализации муниципальной программы);</w:t>
      </w:r>
    </w:p>
    <w:p>
      <w:pPr>
        <w:pStyle w:val="2112"/>
        <w:rPr/>
      </w:pPr>
      <w:r>
        <w:rPr/>
        <w:t>организует информационную и разъяснительную работу, направленную на освещение целей, задач и хода реализации Программы в печатных средствах массовой информации (при необходимости), на официальном сайте в информационно-телекоммуникационной сети «Интернет» и иных информационных ресурсах;</w:t>
      </w:r>
    </w:p>
    <w:p>
      <w:pPr>
        <w:pStyle w:val="2112"/>
        <w:rPr/>
      </w:pPr>
      <w:r>
        <w:rPr/>
        <w:t>размещает информацию о ходе реализации, достигнутых результатах и изменениях, внесенных в Программу в государственной автоматизированной информационной системе «Управление» и иных информационных ресурсах в сроки, установленные действующим законодательством;</w:t>
      </w:r>
    </w:p>
    <w:p>
      <w:pPr>
        <w:pStyle w:val="2112"/>
        <w:rPr/>
      </w:pPr>
      <w:r>
        <w:rPr/>
        <w:t>осуществляет иные полномочия, установленные Порядком и Программой.</w:t>
      </w:r>
    </w:p>
    <w:p>
      <w:pPr>
        <w:pStyle w:val="2112"/>
        <w:rPr/>
      </w:pPr>
      <w:r>
        <w:rPr/>
        <w:t>Координатор муниципальной программы, являющийся в рамках данной Программы и Исполнителем  мероприятий Программы в сфере установленных функций несет ответственность за эффективность реализации Программы и достижение целевых показателей Программы, а также за достоверность данных, представляемых в рамках мониторинга реализации Программы и ежегодного доклада о ходе реализации Программы и оценке эффективности ее реализации.</w:t>
      </w:r>
    </w:p>
    <w:p>
      <w:pPr>
        <w:pStyle w:val="2112"/>
        <w:rPr/>
      </w:pPr>
      <w:r>
        <w:rPr/>
        <w:t>Контроль за ходом выполнения Программы осуществляют администрация и Совет муниципального образования Северский район.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tbl>
      <w:tblPr>
        <w:tblStyle w:val="Style_3"/>
        <w:tblW w:w="1428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5"/>
        <w:gridCol w:w="7420"/>
      </w:tblGrid>
      <w:tr>
        <w:trPr/>
        <w:tc>
          <w:tcPr>
            <w:tcW w:w="6865" w:type="dxa"/>
            <w:tcBorders/>
            <w:vAlign w:val="bottom"/>
          </w:tcPr>
          <w:p>
            <w:pPr>
              <w:pStyle w:val="1120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Начальник управления информатизации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и информационной безопасности</w:t>
            </w:r>
          </w:p>
        </w:tc>
        <w:tc>
          <w:tcPr>
            <w:tcW w:w="7420" w:type="dxa"/>
            <w:tcBorders/>
            <w:vAlign w:val="bottom"/>
          </w:tcPr>
          <w:p>
            <w:pPr>
              <w:pStyle w:val="1124"/>
              <w:widowControl/>
              <w:suppressAutoHyphens w:val="true"/>
              <w:spacing w:lineRule="auto" w:line="240" w:before="0" w:after="0"/>
              <w:ind w:hanging="0" w:left="113" w:right="-57"/>
              <w:jc w:val="righ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Н.Н. Сергиевская</w:t>
            </w:r>
          </w:p>
        </w:tc>
      </w:tr>
    </w:tbl>
    <w:p>
      <w:pPr>
        <w:pStyle w:val="Normal"/>
        <w:widowControl/>
        <w:ind w:hanging="0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sectPr>
      <w:headerReference w:type="even" r:id="rId11"/>
      <w:headerReference w:type="default" r:id="rId12"/>
      <w:headerReference w:type="first" r:id="rId13"/>
      <w:type w:val="nextPage"/>
      <w:pgSz w:orient="landscape" w:w="16838" w:h="11906"/>
      <w:pgMar w:left="1701" w:right="850" w:gutter="0" w:header="72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  <w:font w:name="Calibri">
    <w:charset w:val="01"/>
    <w:family w:val="roman"/>
    <w:pitch w:val="default"/>
  </w:font>
  <w:font w:name="Times New Roman CYR">
    <w:charset w:val="01"/>
    <w:family w:val="roman"/>
    <w:pitch w:val="default"/>
  </w:font>
  <w:font w:name="Trebuchet MS">
    <w:charset w:val="01"/>
    <w:family w:val="roman"/>
    <w:pitch w:val="default"/>
  </w:font>
  <w:font w:name="Calibri">
    <w:charset w:val="01"/>
    <w:family w:val="swiss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ind w:hanging="0" w:left="0" w:right="0"/>
      <w:jc w:val="center"/>
      <w:rPr/>
    </w:pPr>
    <w:r>
      <w:rPr/>
      <mc:AlternateContent>
        <mc:Choice Requires="wps">
          <w:drawing>
            <wp:anchor behindDoc="1" distT="0" distB="0" distL="114300" distR="114300" simplePos="0" locked="0" layoutInCell="0" allowOverlap="1" relativeHeight="6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0" cy="280670"/>
              <wp:effectExtent l="0" t="0" r="0" b="0"/>
              <wp:wrapSquare wrapText="bothSides"/>
              <wp:docPr id="21" name="Picture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080" cy="280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Normal"/>
                            <w:widowControl/>
                            <w:jc w:val="center"/>
                            <w:rPr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spacing w:val="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pacing w:val="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pacing w:val="0"/>
                              <w:color w:val="000000"/>
                            </w:rPr>
                            <w:t>33</w:t>
                          </w:r>
                          <w:r>
                            <w:rPr>
                              <w:spacing w:val="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Picture 2" path="m0,0l-2147483645,0l-2147483645,-2147483646l0,-2147483646xe" stroked="f" o:allowincell="f" style="position:absolute;margin-left:307.15pt;margin-top:0.05pt;width:99.95pt;height:22.05pt;mso-wrap-style:squar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Normal"/>
                      <w:widowControl/>
                      <w:jc w:val="center"/>
                      <w:rPr>
                        <w:color w:val="000000"/>
                        <w:spacing w:val="0"/>
                      </w:rPr>
                    </w:pPr>
                    <w:r>
                      <w:rPr>
                        <w:color w:val="000000"/>
                        <w:spacing w:val="0"/>
                      </w:rPr>
                      <w:fldChar w:fldCharType="begin"/>
                    </w:r>
                    <w:r>
                      <w:rPr>
                        <w:spacing w:val="0"/>
                        <w:color w:val="000000"/>
                      </w:rPr>
                      <w:instrText xml:space="preserve"> PAGE </w:instrText>
                    </w:r>
                    <w:r>
                      <w:rPr>
                        <w:spacing w:val="0"/>
                        <w:color w:val="000000"/>
                      </w:rPr>
                      <w:fldChar w:fldCharType="separate"/>
                    </w:r>
                    <w:r>
                      <w:rPr>
                        <w:spacing w:val="0"/>
                        <w:color w:val="000000"/>
                      </w:rPr>
                      <w:t>33</w:t>
                    </w:r>
                    <w:r>
                      <w:rPr>
                        <w:spacing w:val="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ind w:hanging="0" w:left="0" w:right="0"/>
      <w:jc w:val="center"/>
      <w:rPr/>
    </w:pPr>
    <w:r>
      <w:rPr/>
      <mc:AlternateContent>
        <mc:Choice Requires="wps">
          <w:drawing>
            <wp:anchor behindDoc="1" distT="0" distB="0" distL="114300" distR="114300" simplePos="0" locked="0" layoutInCell="0" allowOverlap="1" relativeHeight="6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0" cy="280670"/>
              <wp:effectExtent l="0" t="0" r="0" b="0"/>
              <wp:wrapSquare wrapText="bothSides"/>
              <wp:docPr id="22" name="Picture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080" cy="280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Normal"/>
                            <w:widowControl/>
                            <w:jc w:val="center"/>
                            <w:rPr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spacing w:val="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pacing w:val="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pacing w:val="0"/>
                              <w:color w:val="000000"/>
                            </w:rPr>
                            <w:t>33</w:t>
                          </w:r>
                          <w:r>
                            <w:rPr>
                              <w:spacing w:val="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Picture 2" path="m0,0l-2147483645,0l-2147483645,-2147483646l0,-2147483646xe" stroked="f" o:allowincell="f" style="position:absolute;margin-left:307.15pt;margin-top:0.05pt;width:99.95pt;height:22.05pt;mso-wrap-style:squar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Normal"/>
                      <w:widowControl/>
                      <w:jc w:val="center"/>
                      <w:rPr>
                        <w:color w:val="000000"/>
                        <w:spacing w:val="0"/>
                      </w:rPr>
                    </w:pPr>
                    <w:r>
                      <w:rPr>
                        <w:color w:val="000000"/>
                        <w:spacing w:val="0"/>
                      </w:rPr>
                      <w:fldChar w:fldCharType="begin"/>
                    </w:r>
                    <w:r>
                      <w:rPr>
                        <w:spacing w:val="0"/>
                        <w:color w:val="000000"/>
                      </w:rPr>
                      <w:instrText xml:space="preserve"> PAGE </w:instrText>
                    </w:r>
                    <w:r>
                      <w:rPr>
                        <w:spacing w:val="0"/>
                        <w:color w:val="000000"/>
                      </w:rPr>
                      <w:fldChar w:fldCharType="separate"/>
                    </w:r>
                    <w:r>
                      <w:rPr>
                        <w:spacing w:val="0"/>
                        <w:color w:val="000000"/>
                      </w:rPr>
                      <w:t>33</w:t>
                    </w:r>
                    <w:r>
                      <w:rPr>
                        <w:spacing w:val="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Calibri" w:hAnsi="Calibri" w:cs="Calibri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/>
    </w:lvl>
  </w:abstractNum>
  <w:abstractNum w:abstractNumId="4"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decimal"/>
      <w:lvlText w:val="%2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decimal"/>
      <w:lvlText w:val="%3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4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decimal"/>
      <w:lvlText w:val="%5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decimal"/>
      <w:lvlText w:val="%6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decimal"/>
      <w:lvlText w:val="%7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decimal"/>
      <w:lvlText w:val="%8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9"/>
      <w:lvlJc w:val="left"/>
      <w:pPr>
        <w:tabs>
          <w:tab w:val="num" w:pos="0"/>
        </w:tabs>
        <w:ind w:left="1584" w:hanging="1584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98"/>
  <w:defaultTabStop w:val="708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Free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 w:val="false"/>
      <w:suppressAutoHyphens w:val="true"/>
      <w:bidi w:val="0"/>
      <w:spacing w:lineRule="auto" w:line="240" w:before="0" w:after="0"/>
      <w:ind w:firstLine="720" w:left="0" w:right="0"/>
      <w:jc w:val="both"/>
    </w:pPr>
    <w:rPr>
      <w:rFonts w:ascii="Arial" w:hAnsi="Arial" w:eastAsia="Noto Serif CJK SC" w:cs="FreeSans"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widowControl/>
      <w:numPr>
        <w:ilvl w:val="0"/>
        <w:numId w:val="4"/>
      </w:numPr>
      <w:spacing w:before="108" w:after="108"/>
      <w:ind w:hanging="0" w:left="0"/>
      <w:jc w:val="center"/>
      <w:outlineLvl w:val="0"/>
    </w:pPr>
    <w:rPr>
      <w:b/>
      <w:color w:val="26282F"/>
    </w:rPr>
  </w:style>
  <w:style w:type="paragraph" w:styleId="Heading2">
    <w:name w:val="heading 2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1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Noto Serif CJK SC" w:cs="Free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Noto Serif CJK SC" w:cs="Free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IndexHeading1">
    <w:name w:val="Index Heading1"/>
    <w:qFormat/>
    <w:rPr>
      <w:rFonts w:ascii="PT Astra Serif" w:hAnsi="PT Astra Serif"/>
    </w:rPr>
  </w:style>
  <w:style w:type="character" w:styleId="HeaderandFooter3">
    <w:name w:val="Header and Footer3"/>
    <w:link w:val="HeaderandFooter31"/>
    <w:qFormat/>
    <w:rPr/>
  </w:style>
  <w:style w:type="character" w:styleId="11">
    <w:name w:val="Стиль11"/>
    <w:link w:val="1114"/>
    <w:qFormat/>
    <w:rPr>
      <w:rFonts w:ascii="Times New Roman" w:hAnsi="Times New Roman"/>
      <w:color w:val="000000"/>
      <w:spacing w:val="0"/>
      <w:sz w:val="28"/>
    </w:rPr>
  </w:style>
  <w:style w:type="character" w:styleId="9">
    <w:name w:val="Содержимое врезки9"/>
    <w:link w:val="91"/>
    <w:qFormat/>
    <w:rPr/>
  </w:style>
  <w:style w:type="character" w:styleId="BalloonText1">
    <w:name w:val="Balloon Text1"/>
    <w:link w:val="BalloonText11"/>
    <w:qFormat/>
    <w:rPr>
      <w:rFonts w:ascii="Tahoma" w:hAnsi="Tahoma"/>
      <w:sz w:val="16"/>
    </w:rPr>
  </w:style>
  <w:style w:type="character" w:styleId="1">
    <w:name w:val="Цветовое выделение1"/>
    <w:link w:val="1115"/>
    <w:qFormat/>
    <w:rPr>
      <w:rFonts w:ascii="Times New Roman" w:hAnsi="Times New Roman"/>
      <w:b/>
      <w:color w:val="26282F"/>
      <w:spacing w:val="0"/>
      <w:sz w:val="20"/>
    </w:rPr>
  </w:style>
  <w:style w:type="character" w:styleId="Heading11">
    <w:name w:val="Heading 11"/>
    <w:link w:val="Heading111"/>
    <w:qFormat/>
    <w:rPr>
      <w:b/>
      <w:color w:val="26282F"/>
    </w:rPr>
  </w:style>
  <w:style w:type="character" w:styleId="Contents2">
    <w:name w:val="Contents 2"/>
    <w:qFormat/>
    <w:rPr>
      <w:rFonts w:ascii="XO Thames" w:hAnsi="XO Thames"/>
      <w:color w:val="000000"/>
      <w:spacing w:val="0"/>
      <w:sz w:val="28"/>
    </w:rPr>
  </w:style>
  <w:style w:type="character" w:styleId="Heading21">
    <w:name w:val="Heading 21"/>
    <w:link w:val="Heading211"/>
    <w:qFormat/>
    <w:rPr>
      <w:rFonts w:ascii="XO Thames" w:hAnsi="XO Thames"/>
      <w:b/>
      <w:sz w:val="28"/>
    </w:rPr>
  </w:style>
  <w:style w:type="character" w:styleId="3">
    <w:name w:val="Содержимое врезки3"/>
    <w:link w:val="311"/>
    <w:qFormat/>
    <w:rPr/>
  </w:style>
  <w:style w:type="character" w:styleId="Contents4">
    <w:name w:val="Contents 4"/>
    <w:qFormat/>
    <w:rPr>
      <w:rFonts w:ascii="XO Thames" w:hAnsi="XO Thames"/>
      <w:color w:val="000000"/>
      <w:spacing w:val="0"/>
      <w:sz w:val="28"/>
    </w:rPr>
  </w:style>
  <w:style w:type="character" w:styleId="ConsPlusNormal1">
    <w:name w:val="ConsPlusNormal1"/>
    <w:link w:val="ConsPlusNormal11"/>
    <w:qFormat/>
    <w:rPr>
      <w:rFonts w:ascii="Calibri" w:hAnsi="Calibri"/>
      <w:color w:val="000000"/>
      <w:spacing w:val="0"/>
      <w:sz w:val="22"/>
    </w:rPr>
  </w:style>
  <w:style w:type="character" w:styleId="WW8Num2z01">
    <w:name w:val="WW8Num2z01"/>
    <w:link w:val="WW8Num2z011"/>
    <w:qFormat/>
    <w:rPr>
      <w:rFonts w:ascii="Times New Roman" w:hAnsi="Times New Roman"/>
      <w:color w:val="000000"/>
      <w:spacing w:val="0"/>
      <w:sz w:val="20"/>
    </w:rPr>
  </w:style>
  <w:style w:type="character" w:styleId="Contents6">
    <w:name w:val="Contents 6"/>
    <w:qFormat/>
    <w:rPr>
      <w:rFonts w:ascii="XO Thames" w:hAnsi="XO Thames"/>
      <w:color w:val="000000"/>
      <w:spacing w:val="0"/>
      <w:sz w:val="28"/>
    </w:rPr>
  </w:style>
  <w:style w:type="character" w:styleId="Style9">
    <w:name w:val="Колонтитулы"/>
    <w:link w:val="127"/>
    <w:qFormat/>
    <w:rPr/>
  </w:style>
  <w:style w:type="character" w:styleId="Title1">
    <w:name w:val="Title1"/>
    <w:link w:val="Title11"/>
    <w:qFormat/>
    <w:rPr>
      <w:rFonts w:ascii="XO Thames" w:hAnsi="XO Thames"/>
      <w:b/>
      <w:caps/>
      <w:sz w:val="40"/>
    </w:rPr>
  </w:style>
  <w:style w:type="character" w:styleId="Contents7">
    <w:name w:val="Contents 7"/>
    <w:qFormat/>
    <w:rPr>
      <w:rFonts w:ascii="XO Thames" w:hAnsi="XO Thames"/>
      <w:color w:val="000000"/>
      <w:spacing w:val="0"/>
      <w:sz w:val="28"/>
    </w:rPr>
  </w:style>
  <w:style w:type="character" w:styleId="12">
    <w:name w:val="Комментарий1"/>
    <w:basedOn w:val="120"/>
    <w:link w:val="128"/>
    <w:qFormat/>
    <w:rPr>
      <w:color w:val="353842"/>
      <w:shd w:fill="F0F0F0" w:val="clear"/>
    </w:rPr>
  </w:style>
  <w:style w:type="character" w:styleId="111">
    <w:name w:val="Название11"/>
    <w:link w:val="1116"/>
    <w:qFormat/>
    <w:rPr>
      <w:i/>
      <w:sz w:val="24"/>
    </w:rPr>
  </w:style>
  <w:style w:type="character" w:styleId="112">
    <w:name w:val="Комментарий11"/>
    <w:link w:val="1117"/>
    <w:qFormat/>
    <w:rPr/>
  </w:style>
  <w:style w:type="character" w:styleId="Endnote">
    <w:name w:val="Endnote"/>
    <w:link w:val="Endnote2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color w:val="000000"/>
      <w:spacing w:val="0"/>
      <w:sz w:val="26"/>
    </w:rPr>
  </w:style>
  <w:style w:type="character" w:styleId="7">
    <w:name w:val="Содержимое врезки7"/>
    <w:link w:val="71"/>
    <w:qFormat/>
    <w:rPr/>
  </w:style>
  <w:style w:type="character" w:styleId="2">
    <w:name w:val="Содержимое врезки2"/>
    <w:link w:val="212"/>
    <w:qFormat/>
    <w:rPr/>
  </w:style>
  <w:style w:type="character" w:styleId="Header1">
    <w:name w:val="Header1"/>
    <w:qFormat/>
    <w:rPr/>
  </w:style>
  <w:style w:type="character" w:styleId="HeaderandFooter6">
    <w:name w:val="Header and Footer6"/>
    <w:link w:val="HeaderandFooter61"/>
    <w:qFormat/>
    <w:rPr/>
  </w:style>
  <w:style w:type="character" w:styleId="Contents8">
    <w:name w:val="Contents 8"/>
    <w:link w:val="Contents82"/>
    <w:qFormat/>
    <w:rPr>
      <w:rFonts w:ascii="XO Thames" w:hAnsi="XO Thames"/>
      <w:sz w:val="28"/>
    </w:rPr>
  </w:style>
  <w:style w:type="character" w:styleId="Textbody">
    <w:name w:val="Text body"/>
    <w:qFormat/>
    <w:rPr/>
  </w:style>
  <w:style w:type="character" w:styleId="Style10">
    <w:name w:val="Заголовок"/>
    <w:link w:val="1211"/>
    <w:qFormat/>
    <w:rPr>
      <w:rFonts w:ascii="PT Astra Serif" w:hAnsi="PT Astra Serif"/>
      <w:sz w:val="28"/>
    </w:rPr>
  </w:style>
  <w:style w:type="character" w:styleId="Style11">
    <w:name w:val="Указатель"/>
    <w:link w:val="1212"/>
    <w:qFormat/>
    <w:rPr>
      <w:rFonts w:ascii="PT Astra Serif" w:hAnsi="PT Astra Serif"/>
    </w:rPr>
  </w:style>
  <w:style w:type="character" w:styleId="8">
    <w:name w:val="Содержимое врезки8"/>
    <w:link w:val="81"/>
    <w:qFormat/>
    <w:rPr/>
  </w:style>
  <w:style w:type="character" w:styleId="ListParagraph1">
    <w:name w:val="List Paragraph1"/>
    <w:link w:val="ListParagraph11"/>
    <w:qFormat/>
    <w:rPr/>
  </w:style>
  <w:style w:type="character" w:styleId="caption111111111112">
    <w:name w:val="caption111111111112"/>
    <w:link w:val="caption1111111111121"/>
    <w:qFormat/>
    <w:rPr>
      <w:rFonts w:ascii="PT Astra Serif" w:hAnsi="PT Astra Serif"/>
      <w:i/>
      <w:sz w:val="24"/>
    </w:rPr>
  </w:style>
  <w:style w:type="character" w:styleId="113">
    <w:name w:val="Номер строки11"/>
    <w:basedOn w:val="21"/>
    <w:link w:val="1118"/>
    <w:qFormat/>
    <w:rPr/>
  </w:style>
  <w:style w:type="character" w:styleId="Caption1">
    <w:name w:val="Caption1"/>
    <w:link w:val="Caption11"/>
    <w:qFormat/>
    <w:rPr>
      <w:rFonts w:ascii="PT Astra Serif" w:hAnsi="PT Astra Serif"/>
      <w:i/>
      <w:sz w:val="24"/>
    </w:rPr>
  </w:style>
  <w:style w:type="character" w:styleId="caption1111111111112">
    <w:name w:val="caption1111111111112"/>
    <w:link w:val="caption11111111111121"/>
    <w:qFormat/>
    <w:rPr>
      <w:rFonts w:ascii="PT Astra Serif" w:hAnsi="PT Astra Serif"/>
      <w:i/>
      <w:sz w:val="24"/>
    </w:rPr>
  </w:style>
  <w:style w:type="character" w:styleId="WW8Num1z61">
    <w:name w:val="WW8Num1z61"/>
    <w:link w:val="WW8Num1z611"/>
    <w:qFormat/>
    <w:rPr>
      <w:rFonts w:ascii="Times New Roman" w:hAnsi="Times New Roman"/>
      <w:color w:val="000000"/>
      <w:spacing w:val="0"/>
      <w:sz w:val="20"/>
    </w:rPr>
  </w:style>
  <w:style w:type="character" w:styleId="21">
    <w:name w:val="Основной шрифт абзаца21"/>
    <w:link w:val="2111"/>
    <w:qFormat/>
    <w:rPr>
      <w:rFonts w:ascii="Times New Roman" w:hAnsi="Times New Roman"/>
      <w:color w:val="000000"/>
      <w:spacing w:val="0"/>
      <w:sz w:val="20"/>
    </w:rPr>
  </w:style>
  <w:style w:type="character" w:styleId="13">
    <w:name w:val="Цветовое выделение для Текст1"/>
    <w:link w:val="1119"/>
    <w:qFormat/>
    <w:rPr>
      <w:rFonts w:ascii="Times New Roman CYR" w:hAnsi="Times New Roman CYR"/>
      <w:color w:val="000000"/>
      <w:spacing w:val="0"/>
      <w:sz w:val="24"/>
    </w:rPr>
  </w:style>
  <w:style w:type="character" w:styleId="114">
    <w:name w:val="Обычный11"/>
    <w:link w:val="11110"/>
    <w:qFormat/>
    <w:rPr>
      <w:rFonts w:ascii="Arial" w:hAnsi="Arial"/>
      <w:color w:val="000000"/>
      <w:spacing w:val="0"/>
      <w:sz w:val="26"/>
    </w:rPr>
  </w:style>
  <w:style w:type="character" w:styleId="WW8Num1z41">
    <w:name w:val="WW8Num1z41"/>
    <w:link w:val="WW8Num1z411"/>
    <w:qFormat/>
    <w:rPr>
      <w:rFonts w:ascii="Times New Roman" w:hAnsi="Times New Roman"/>
      <w:color w:val="000000"/>
      <w:spacing w:val="0"/>
      <w:sz w:val="20"/>
    </w:rPr>
  </w:style>
  <w:style w:type="character" w:styleId="115">
    <w:name w:val="Содержимое таблицы11"/>
    <w:link w:val="11111"/>
    <w:qFormat/>
    <w:rPr/>
  </w:style>
  <w:style w:type="character" w:styleId="caption113">
    <w:name w:val="caption113"/>
    <w:link w:val="caption1131"/>
    <w:qFormat/>
    <w:rPr>
      <w:rFonts w:ascii="PT Astra Serif" w:hAnsi="PT Astra Serif"/>
      <w:i/>
      <w:sz w:val="24"/>
    </w:rPr>
  </w:style>
  <w:style w:type="character" w:styleId="Style12">
    <w:name w:val="Содержимое врезки"/>
    <w:link w:val="101"/>
    <w:qFormat/>
    <w:rPr/>
  </w:style>
  <w:style w:type="character" w:styleId="HeaderandFooter1">
    <w:name w:val="Header and Footer1"/>
    <w:link w:val="HeaderandFooter11"/>
    <w:qFormat/>
    <w:rPr/>
  </w:style>
  <w:style w:type="character" w:styleId="14">
    <w:name w:val="Прижатый влево1"/>
    <w:link w:val="1120"/>
    <w:qFormat/>
    <w:rPr/>
  </w:style>
  <w:style w:type="character" w:styleId="caption12">
    <w:name w:val="caption12"/>
    <w:link w:val="caption121"/>
    <w:qFormat/>
    <w:rPr>
      <w:rFonts w:ascii="PT Astra Serif" w:hAnsi="PT Astra Serif"/>
      <w:i/>
      <w:sz w:val="24"/>
    </w:rPr>
  </w:style>
  <w:style w:type="character" w:styleId="caption111111112">
    <w:name w:val="caption111111112"/>
    <w:link w:val="caption1111111121"/>
    <w:qFormat/>
    <w:rPr>
      <w:rFonts w:ascii="PT Astra Serif" w:hAnsi="PT Astra Serif"/>
      <w:i/>
      <w:sz w:val="24"/>
    </w:rPr>
  </w:style>
  <w:style w:type="character" w:styleId="15">
    <w:name w:val="Текст выноски Знак1"/>
    <w:link w:val="1121"/>
    <w:qFormat/>
    <w:rPr>
      <w:rFonts w:ascii="Tahoma" w:hAnsi="Tahoma"/>
      <w:color w:val="000000"/>
      <w:spacing w:val="0"/>
      <w:sz w:val="16"/>
    </w:rPr>
  </w:style>
  <w:style w:type="character" w:styleId="16">
    <w:name w:val="Содержимое врезки1"/>
    <w:link w:val="129"/>
    <w:qFormat/>
    <w:rPr/>
  </w:style>
  <w:style w:type="character" w:styleId="Contents1">
    <w:name w:val="Contents 1"/>
    <w:link w:val="Contents12"/>
    <w:qFormat/>
    <w:rPr>
      <w:rFonts w:ascii="XO Thames" w:hAnsi="XO Thames"/>
      <w:b/>
      <w:sz w:val="28"/>
    </w:rPr>
  </w:style>
  <w:style w:type="character" w:styleId="17">
    <w:name w:val="Гипертекстовая ссылка1"/>
    <w:link w:val="1122"/>
    <w:qFormat/>
    <w:rPr>
      <w:rFonts w:ascii="Times New Roman" w:hAnsi="Times New Roman"/>
      <w:b/>
      <w:color w:val="106BBE"/>
      <w:spacing w:val="0"/>
      <w:sz w:val="20"/>
    </w:rPr>
  </w:style>
  <w:style w:type="character" w:styleId="Contents3">
    <w:name w:val="Contents 3"/>
    <w:qFormat/>
    <w:rPr>
      <w:rFonts w:ascii="XO Thames" w:hAnsi="XO Thames"/>
      <w:color w:val="000000"/>
      <w:spacing w:val="0"/>
      <w:sz w:val="28"/>
    </w:rPr>
  </w:style>
  <w:style w:type="character" w:styleId="WW8Num1z31">
    <w:name w:val="WW8Num1z31"/>
    <w:link w:val="WW8Num1z311"/>
    <w:qFormat/>
    <w:rPr>
      <w:rFonts w:ascii="Times New Roman" w:hAnsi="Times New Roman"/>
      <w:color w:val="000000"/>
      <w:spacing w:val="0"/>
      <w:sz w:val="20"/>
    </w:rPr>
  </w:style>
  <w:style w:type="character" w:styleId="Subtitle1">
    <w:name w:val="Subtitle1"/>
    <w:link w:val="Subtitle11"/>
    <w:qFormat/>
    <w:rPr>
      <w:rFonts w:ascii="XO Thames" w:hAnsi="XO Thames"/>
      <w:i/>
      <w:sz w:val="24"/>
    </w:rPr>
  </w:style>
  <w:style w:type="character" w:styleId="Contents21">
    <w:name w:val="Contents 21"/>
    <w:link w:val="Contents22"/>
    <w:qFormat/>
    <w:rPr>
      <w:rFonts w:ascii="XO Thames" w:hAnsi="XO Thames"/>
      <w:sz w:val="28"/>
    </w:rPr>
  </w:style>
  <w:style w:type="character" w:styleId="caption1111112">
    <w:name w:val="caption1111112"/>
    <w:link w:val="caption11111121"/>
    <w:qFormat/>
    <w:rPr>
      <w:rFonts w:ascii="PT Astra Serif" w:hAnsi="PT Astra Serif"/>
      <w:i/>
      <w:sz w:val="24"/>
    </w:rPr>
  </w:style>
  <w:style w:type="character" w:styleId="Caption2">
    <w:name w:val="Caption2"/>
    <w:qFormat/>
    <w:rPr>
      <w:rFonts w:ascii="PT Astra Serif" w:hAnsi="PT Astra Serif"/>
      <w:i/>
      <w:sz w:val="24"/>
    </w:rPr>
  </w:style>
  <w:style w:type="character" w:styleId="HeaderandFooter7">
    <w:name w:val="Header and Footer7"/>
    <w:link w:val="HeaderandFooter71"/>
    <w:qFormat/>
    <w:rPr/>
  </w:style>
  <w:style w:type="character" w:styleId="18">
    <w:name w:val="Символ нумерации1"/>
    <w:link w:val="1123"/>
    <w:qFormat/>
    <w:rPr>
      <w:rFonts w:ascii="Times New Roman" w:hAnsi="Times New Roman"/>
      <w:color w:val="000000"/>
      <w:spacing w:val="0"/>
      <w:sz w:val="20"/>
    </w:rPr>
  </w:style>
  <w:style w:type="character" w:styleId="Footer1">
    <w:name w:val="Footer1"/>
    <w:link w:val="Footer11"/>
    <w:qFormat/>
    <w:rPr/>
  </w:style>
  <w:style w:type="character" w:styleId="Header11">
    <w:name w:val="Header11"/>
    <w:link w:val="Header12"/>
    <w:qFormat/>
    <w:rPr/>
  </w:style>
  <w:style w:type="character" w:styleId="WW8Num1z51">
    <w:name w:val="WW8Num1z51"/>
    <w:link w:val="WW8Num1z511"/>
    <w:qFormat/>
    <w:rPr>
      <w:rFonts w:ascii="Times New Roman" w:hAnsi="Times New Roman"/>
      <w:color w:val="000000"/>
      <w:spacing w:val="0"/>
      <w:sz w:val="20"/>
    </w:rPr>
  </w:style>
  <w:style w:type="character" w:styleId="WW8Num1z21">
    <w:name w:val="WW8Num1z21"/>
    <w:link w:val="WW8Num1z211"/>
    <w:qFormat/>
    <w:rPr>
      <w:rFonts w:ascii="Times New Roman" w:hAnsi="Times New Roman"/>
      <w:color w:val="000000"/>
      <w:spacing w:val="0"/>
      <w:sz w:val="20"/>
    </w:rPr>
  </w:style>
  <w:style w:type="character" w:styleId="WW8Num1z81">
    <w:name w:val="WW8Num1z81"/>
    <w:link w:val="WW8Num1z811"/>
    <w:qFormat/>
    <w:rPr>
      <w:rFonts w:ascii="Times New Roman" w:hAnsi="Times New Roman"/>
      <w:color w:val="000000"/>
      <w:spacing w:val="0"/>
      <w:sz w:val="20"/>
    </w:rPr>
  </w:style>
  <w:style w:type="character" w:styleId="caption11111111112">
    <w:name w:val="caption11111111112"/>
    <w:link w:val="caption111111111121"/>
    <w:qFormat/>
    <w:rPr>
      <w:rFonts w:ascii="PT Astra Serif" w:hAnsi="PT Astra Serif"/>
      <w:i/>
      <w:sz w:val="24"/>
    </w:rPr>
  </w:style>
  <w:style w:type="character" w:styleId="List1">
    <w:name w:val="List1"/>
    <w:basedOn w:val="Textbody1"/>
    <w:link w:val="List11"/>
    <w:qFormat/>
    <w:rPr/>
  </w:style>
  <w:style w:type="character" w:styleId="19">
    <w:name w:val="Содержимое таблицы1"/>
    <w:link w:val="1210"/>
    <w:qFormat/>
    <w:rPr/>
  </w:style>
  <w:style w:type="character" w:styleId="Heading51">
    <w:name w:val="Heading 51"/>
    <w:qFormat/>
    <w:rPr>
      <w:rFonts w:ascii="XO Thames" w:hAnsi="XO Thames"/>
      <w:b/>
      <w:color w:val="000000"/>
      <w:spacing w:val="0"/>
      <w:sz w:val="22"/>
    </w:rPr>
  </w:style>
  <w:style w:type="character" w:styleId="List2">
    <w:name w:val="List2"/>
    <w:basedOn w:val="Textbody"/>
    <w:qFormat/>
    <w:rPr/>
  </w:style>
  <w:style w:type="character" w:styleId="Heading12">
    <w:name w:val="Heading 12"/>
    <w:qFormat/>
    <w:rPr>
      <w:b/>
      <w:color w:val="26282F"/>
    </w:rPr>
  </w:style>
  <w:style w:type="character" w:styleId="Contents5">
    <w:name w:val="Contents 5"/>
    <w:link w:val="Contents52"/>
    <w:qFormat/>
    <w:rPr>
      <w:rFonts w:ascii="XO Thames" w:hAnsi="XO Thames"/>
      <w:sz w:val="28"/>
    </w:rPr>
  </w:style>
  <w:style w:type="character" w:styleId="5">
    <w:name w:val="Содержимое врезки5"/>
    <w:link w:val="51"/>
    <w:qFormat/>
    <w:rPr/>
  </w:style>
  <w:style w:type="character" w:styleId="IndexHeading11">
    <w:name w:val="Index Heading11"/>
    <w:link w:val="IndexHeading12"/>
    <w:qFormat/>
    <w:rPr>
      <w:rFonts w:ascii="PT Astra Serif" w:hAnsi="PT Astra Serif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2"/>
    <w:qFormat/>
    <w:rPr>
      <w:rFonts w:ascii="XO Thames" w:hAnsi="XO Thames"/>
      <w:sz w:val="22"/>
    </w:rPr>
  </w:style>
  <w:style w:type="character" w:styleId="Style13">
    <w:name w:val="Заголовок таблицы"/>
    <w:basedOn w:val="Style15"/>
    <w:link w:val="214"/>
    <w:qFormat/>
    <w:rPr>
      <w:b/>
    </w:rPr>
  </w:style>
  <w:style w:type="character" w:styleId="110">
    <w:name w:val="Нормальный (таблица)1"/>
    <w:link w:val="1124"/>
    <w:qFormat/>
    <w:rPr/>
  </w:style>
  <w:style w:type="character" w:styleId="Contents41">
    <w:name w:val="Contents 41"/>
    <w:link w:val="Contents42"/>
    <w:qFormat/>
    <w:rPr>
      <w:rFonts w:ascii="XO Thames" w:hAnsi="XO Thames"/>
      <w:sz w:val="28"/>
    </w:rPr>
  </w:style>
  <w:style w:type="character" w:styleId="Contents11">
    <w:name w:val="Contents 11"/>
    <w:qFormat/>
    <w:rPr>
      <w:rFonts w:ascii="XO Thames" w:hAnsi="XO Thames"/>
      <w:b/>
      <w:color w:val="000000"/>
      <w:spacing w:val="0"/>
      <w:sz w:val="28"/>
    </w:rPr>
  </w:style>
  <w:style w:type="character" w:styleId="HeaderandFooter">
    <w:name w:val="Header and Footer"/>
    <w:link w:val="HeaderandFooter8"/>
    <w:qFormat/>
    <w:rPr/>
  </w:style>
  <w:style w:type="character" w:styleId="Contents9">
    <w:name w:val="Contents 9"/>
    <w:link w:val="Contents92"/>
    <w:qFormat/>
    <w:rPr>
      <w:rFonts w:ascii="XO Thames" w:hAnsi="XO Thames"/>
      <w:sz w:val="28"/>
    </w:rPr>
  </w:style>
  <w:style w:type="character" w:styleId="user">
    <w:name w:val="Символ нумерации (user)"/>
    <w:qFormat/>
    <w:rPr/>
  </w:style>
  <w:style w:type="character" w:styleId="Footer2">
    <w:name w:val="Footer2"/>
    <w:qFormat/>
    <w:rPr/>
  </w:style>
  <w:style w:type="character" w:styleId="WW8Num1z01">
    <w:name w:val="WW8Num1z01"/>
    <w:link w:val="WW8Num1z011"/>
    <w:qFormat/>
    <w:rPr>
      <w:rFonts w:ascii="Times New Roman" w:hAnsi="Times New Roman"/>
      <w:color w:val="000000"/>
      <w:spacing w:val="0"/>
      <w:sz w:val="20"/>
    </w:rPr>
  </w:style>
  <w:style w:type="character" w:styleId="Internetlink">
    <w:name w:val="Internet link"/>
    <w:link w:val="Internetlink2"/>
    <w:qFormat/>
    <w:rPr>
      <w:rFonts w:ascii="Times New Roman" w:hAnsi="Times New Roman"/>
      <w:color w:val="0000FF"/>
      <w:spacing w:val="0"/>
      <w:sz w:val="20"/>
      <w:u w:val="single"/>
    </w:rPr>
  </w:style>
  <w:style w:type="character" w:styleId="116">
    <w:name w:val="Нижний колонтитул Знак1"/>
    <w:link w:val="1125"/>
    <w:qFormat/>
    <w:rPr>
      <w:rFonts w:ascii="Arial" w:hAnsi="Arial"/>
      <w:color w:val="000000"/>
      <w:spacing w:val="0"/>
      <w:sz w:val="26"/>
    </w:rPr>
  </w:style>
  <w:style w:type="character" w:styleId="Contents91">
    <w:name w:val="Contents 91"/>
    <w:qFormat/>
    <w:rPr>
      <w:rFonts w:ascii="XO Thames" w:hAnsi="XO Thames"/>
      <w:color w:val="000000"/>
      <w:spacing w:val="0"/>
      <w:sz w:val="28"/>
    </w:rPr>
  </w:style>
  <w:style w:type="character" w:styleId="Textbody1">
    <w:name w:val="Text body1"/>
    <w:link w:val="Textbody2"/>
    <w:qFormat/>
    <w:rPr/>
  </w:style>
  <w:style w:type="character" w:styleId="WW8Num1z71">
    <w:name w:val="WW8Num1z71"/>
    <w:link w:val="WW8Num1z711"/>
    <w:qFormat/>
    <w:rPr>
      <w:rFonts w:ascii="Times New Roman" w:hAnsi="Times New Roman"/>
      <w:color w:val="000000"/>
      <w:spacing w:val="0"/>
      <w:sz w:val="20"/>
    </w:rPr>
  </w:style>
  <w:style w:type="character" w:styleId="117">
    <w:name w:val="Основной шрифт абзаца11"/>
    <w:link w:val="11112"/>
    <w:qFormat/>
    <w:rPr>
      <w:rFonts w:ascii="Times New Roman" w:hAnsi="Times New Roman"/>
      <w:color w:val="000000"/>
      <w:spacing w:val="0"/>
      <w:sz w:val="20"/>
    </w:rPr>
  </w:style>
  <w:style w:type="character" w:styleId="118">
    <w:name w:val="Заголовок11"/>
    <w:basedOn w:val="114"/>
    <w:link w:val="11113"/>
    <w:qFormat/>
    <w:rPr>
      <w:rFonts w:ascii="Arial" w:hAnsi="Arial"/>
      <w:color w:val="000000"/>
      <w:sz w:val="28"/>
    </w:rPr>
  </w:style>
  <w:style w:type="character" w:styleId="Heading41">
    <w:name w:val="Heading 41"/>
    <w:link w:val="Heading411"/>
    <w:qFormat/>
    <w:rPr>
      <w:rFonts w:ascii="XO Thames" w:hAnsi="XO Thames"/>
      <w:b/>
      <w:sz w:val="24"/>
    </w:rPr>
  </w:style>
  <w:style w:type="character" w:styleId="119">
    <w:name w:val="Содержимое врезки11"/>
    <w:link w:val="11114"/>
    <w:qFormat/>
    <w:rPr/>
  </w:style>
  <w:style w:type="character" w:styleId="Contents81">
    <w:name w:val="Contents 81"/>
    <w:qFormat/>
    <w:rPr>
      <w:rFonts w:ascii="XO Thames" w:hAnsi="XO Thames"/>
      <w:color w:val="000000"/>
      <w:spacing w:val="0"/>
      <w:sz w:val="28"/>
    </w:rPr>
  </w:style>
  <w:style w:type="character" w:styleId="caption11111111111111">
    <w:name w:val="caption11111111111111"/>
    <w:link w:val="caption111111111111111"/>
    <w:qFormat/>
    <w:rPr>
      <w:rFonts w:ascii="PT Astra Serif" w:hAnsi="PT Astra Serif"/>
      <w:i/>
      <w:sz w:val="24"/>
    </w:rPr>
  </w:style>
  <w:style w:type="character" w:styleId="211">
    <w:name w:val="Стиль21"/>
    <w:link w:val="2112"/>
    <w:qFormat/>
    <w:rPr>
      <w:rFonts w:ascii="Times New Roman" w:hAnsi="Times New Roman"/>
      <w:color w:val="000000"/>
      <w:spacing w:val="0"/>
      <w:sz w:val="28"/>
    </w:rPr>
  </w:style>
  <w:style w:type="character" w:styleId="6">
    <w:name w:val="Содержимое врезки6"/>
    <w:link w:val="61"/>
    <w:qFormat/>
    <w:rPr/>
  </w:style>
  <w:style w:type="character" w:styleId="Heading511">
    <w:name w:val="Heading 511"/>
    <w:link w:val="Heading512"/>
    <w:qFormat/>
    <w:rPr>
      <w:rFonts w:ascii="XO Thames" w:hAnsi="XO Thames"/>
      <w:b/>
      <w:sz w:val="22"/>
    </w:rPr>
  </w:style>
  <w:style w:type="character" w:styleId="4">
    <w:name w:val="Содержимое врезки4"/>
    <w:link w:val="411"/>
    <w:qFormat/>
    <w:rPr/>
  </w:style>
  <w:style w:type="character" w:styleId="Contents31">
    <w:name w:val="Contents 31"/>
    <w:link w:val="Contents32"/>
    <w:qFormat/>
    <w:rPr>
      <w:rFonts w:ascii="XO Thames" w:hAnsi="XO Thames"/>
      <w:sz w:val="28"/>
    </w:rPr>
  </w:style>
  <w:style w:type="character" w:styleId="1110">
    <w:name w:val="Заголовок 1 Знак1"/>
    <w:link w:val="11115"/>
    <w:qFormat/>
    <w:rPr>
      <w:rFonts w:ascii="Arial" w:hAnsi="Arial"/>
      <w:b/>
      <w:color w:val="26282F"/>
      <w:spacing w:val="0"/>
      <w:sz w:val="26"/>
    </w:rPr>
  </w:style>
  <w:style w:type="character" w:styleId="caption1112">
    <w:name w:val="caption1112"/>
    <w:link w:val="caption11121"/>
    <w:qFormat/>
    <w:rPr>
      <w:rFonts w:ascii="PT Astra Serif" w:hAnsi="PT Astra Serif"/>
      <w:i/>
      <w:sz w:val="24"/>
    </w:rPr>
  </w:style>
  <w:style w:type="character" w:styleId="Endnote1">
    <w:name w:val="Endnote1"/>
    <w:link w:val="Endnote11"/>
    <w:qFormat/>
    <w:rPr>
      <w:rFonts w:ascii="XO Thames" w:hAnsi="XO Thames"/>
      <w:color w:val="000000"/>
      <w:spacing w:val="0"/>
      <w:sz w:val="22"/>
    </w:rPr>
  </w:style>
  <w:style w:type="character" w:styleId="Style14">
    <w:name w:val="Символ нумерации"/>
    <w:link w:val="24"/>
    <w:qFormat/>
    <w:rPr/>
  </w:style>
  <w:style w:type="character" w:styleId="120">
    <w:name w:val="Текст (справка)1"/>
    <w:link w:val="1126"/>
    <w:qFormat/>
    <w:rPr/>
  </w:style>
  <w:style w:type="character" w:styleId="HeaderandFooter5">
    <w:name w:val="Header and Footer5"/>
    <w:link w:val="HeaderandFooter51"/>
    <w:qFormat/>
    <w:rPr/>
  </w:style>
  <w:style w:type="character" w:styleId="Heading311">
    <w:name w:val="Heading 311"/>
    <w:link w:val="Heading312"/>
    <w:qFormat/>
    <w:rPr>
      <w:rFonts w:ascii="XO Thames" w:hAnsi="XO Thames"/>
      <w:b/>
      <w:sz w:val="26"/>
    </w:rPr>
  </w:style>
  <w:style w:type="character" w:styleId="Contents51">
    <w:name w:val="Contents 51"/>
    <w:qFormat/>
    <w:rPr>
      <w:rFonts w:ascii="XO Thames" w:hAnsi="XO Thames"/>
      <w:color w:val="000000"/>
      <w:spacing w:val="0"/>
      <w:sz w:val="28"/>
    </w:rPr>
  </w:style>
  <w:style w:type="character" w:styleId="Contents61">
    <w:name w:val="Contents 61"/>
    <w:link w:val="Contents62"/>
    <w:qFormat/>
    <w:rPr>
      <w:rFonts w:ascii="XO Thames" w:hAnsi="XO Thames"/>
      <w:sz w:val="28"/>
    </w:rPr>
  </w:style>
  <w:style w:type="character" w:styleId="ConsPlusTitle1">
    <w:name w:val="ConsPlusTitle1"/>
    <w:link w:val="ConsPlusTitle11"/>
    <w:qFormat/>
    <w:rPr>
      <w:rFonts w:ascii="Calibri" w:hAnsi="Calibri"/>
      <w:b/>
      <w:color w:val="000000"/>
      <w:spacing w:val="0"/>
      <w:sz w:val="22"/>
    </w:rPr>
  </w:style>
  <w:style w:type="character" w:styleId="121">
    <w:name w:val="Заголовок таблицы1"/>
    <w:basedOn w:val="19"/>
    <w:link w:val="1213"/>
    <w:qFormat/>
    <w:rPr>
      <w:b/>
    </w:rPr>
  </w:style>
  <w:style w:type="character" w:styleId="Contents71">
    <w:name w:val="Contents 71"/>
    <w:link w:val="Contents72"/>
    <w:qFormat/>
    <w:rPr>
      <w:rFonts w:ascii="XO Thames" w:hAnsi="XO Thames"/>
      <w:sz w:val="28"/>
    </w:rPr>
  </w:style>
  <w:style w:type="character" w:styleId="HeaderandFooter4">
    <w:name w:val="Header and Footer4"/>
    <w:link w:val="HeaderandFooter41"/>
    <w:qFormat/>
    <w:rPr/>
  </w:style>
  <w:style w:type="character" w:styleId="caption11112">
    <w:name w:val="caption11112"/>
    <w:link w:val="caption111121"/>
    <w:qFormat/>
    <w:rPr>
      <w:rFonts w:ascii="PT Astra Serif" w:hAnsi="PT Astra Serif"/>
      <w:i/>
      <w:sz w:val="24"/>
    </w:rPr>
  </w:style>
  <w:style w:type="character" w:styleId="WW8Num1z11">
    <w:name w:val="WW8Num1z11"/>
    <w:link w:val="WW8Num1z111"/>
    <w:qFormat/>
    <w:rPr>
      <w:rFonts w:ascii="Times New Roman" w:hAnsi="Times New Roman"/>
      <w:color w:val="000000"/>
      <w:spacing w:val="0"/>
      <w:sz w:val="20"/>
    </w:rPr>
  </w:style>
  <w:style w:type="character" w:styleId="1111">
    <w:name w:val="Гиперссылка11"/>
    <w:link w:val="11116"/>
    <w:qFormat/>
    <w:rPr>
      <w:rFonts w:ascii="Times New Roman" w:hAnsi="Times New Roman"/>
      <w:color w:val="000080"/>
      <w:spacing w:val="0"/>
      <w:sz w:val="20"/>
      <w:u w:val="single"/>
    </w:rPr>
  </w:style>
  <w:style w:type="character" w:styleId="1112">
    <w:name w:val="Указатель11"/>
    <w:link w:val="11117"/>
    <w:qFormat/>
    <w:rPr/>
  </w:style>
  <w:style w:type="character" w:styleId="caption1111111112">
    <w:name w:val="caption1111111112"/>
    <w:link w:val="caption11111111121"/>
    <w:qFormat/>
    <w:rPr>
      <w:rFonts w:ascii="PT Astra Serif" w:hAnsi="PT Astra Serif"/>
      <w:i/>
      <w:sz w:val="24"/>
    </w:rPr>
  </w:style>
  <w:style w:type="character" w:styleId="caption111112">
    <w:name w:val="caption111112"/>
    <w:link w:val="caption1111121"/>
    <w:qFormat/>
    <w:rPr>
      <w:rFonts w:ascii="PT Astra Serif" w:hAnsi="PT Astra Serif"/>
      <w:i/>
      <w:sz w:val="24"/>
    </w:rPr>
  </w:style>
  <w:style w:type="character" w:styleId="Subtitle2">
    <w:name w:val="Subtitle2"/>
    <w:qFormat/>
    <w:rPr>
      <w:rFonts w:ascii="XO Thames" w:hAnsi="XO Thames"/>
      <w:i/>
      <w:color w:val="000000"/>
      <w:spacing w:val="0"/>
      <w:sz w:val="24"/>
    </w:rPr>
  </w:style>
  <w:style w:type="character" w:styleId="caption11111112">
    <w:name w:val="caption11111112"/>
    <w:link w:val="caption111111121"/>
    <w:qFormat/>
    <w:rPr>
      <w:rFonts w:ascii="PT Astra Serif" w:hAnsi="PT Astra Serif"/>
      <w:i/>
      <w:sz w:val="24"/>
    </w:rPr>
  </w:style>
  <w:style w:type="character" w:styleId="Style15">
    <w:name w:val="Содержимое таблицы"/>
    <w:link w:val="213"/>
    <w:qFormat/>
    <w:rPr/>
  </w:style>
  <w:style w:type="character" w:styleId="31">
    <w:name w:val="Стиль31"/>
    <w:link w:val="3111"/>
    <w:qFormat/>
    <w:rPr>
      <w:rFonts w:ascii="Times New Roman" w:hAnsi="Times New Roman"/>
      <w:b/>
      <w:color w:val="000000"/>
      <w:spacing w:val="0"/>
      <w:sz w:val="28"/>
    </w:rPr>
  </w:style>
  <w:style w:type="character" w:styleId="HeaderandFooter2">
    <w:name w:val="Header and Footer2"/>
    <w:link w:val="HeaderandFooter21"/>
    <w:qFormat/>
    <w:rPr/>
  </w:style>
  <w:style w:type="character" w:styleId="Title2">
    <w:name w:val="Title2"/>
    <w:qFormat/>
    <w:rPr>
      <w:rFonts w:ascii="XO Thames" w:hAnsi="XO Thames"/>
      <w:b/>
      <w:caps/>
      <w:color w:val="000000"/>
      <w:spacing w:val="0"/>
      <w:sz w:val="40"/>
    </w:rPr>
  </w:style>
  <w:style w:type="character" w:styleId="DefaultParagraphFont1">
    <w:name w:val="Default Paragraph Font1"/>
    <w:link w:val="DefaultParagraphFont11"/>
    <w:qFormat/>
    <w:rPr>
      <w:rFonts w:ascii="Times New Roman" w:hAnsi="Times New Roman"/>
      <w:color w:val="000000"/>
      <w:spacing w:val="0"/>
      <w:sz w:val="20"/>
    </w:rPr>
  </w:style>
  <w:style w:type="character" w:styleId="Heading42">
    <w:name w:val="Heading 42"/>
    <w:qFormat/>
    <w:rPr>
      <w:rFonts w:ascii="XO Thames" w:hAnsi="XO Thames"/>
      <w:b/>
      <w:color w:val="000000"/>
      <w:spacing w:val="0"/>
      <w:sz w:val="24"/>
    </w:rPr>
  </w:style>
  <w:style w:type="character" w:styleId="1113">
    <w:name w:val="Заголовок таблицы11"/>
    <w:basedOn w:val="115"/>
    <w:link w:val="11118"/>
    <w:qFormat/>
    <w:rPr/>
  </w:style>
  <w:style w:type="character" w:styleId="Heading22">
    <w:name w:val="Heading 22"/>
    <w:qFormat/>
    <w:rPr>
      <w:rFonts w:ascii="XO Thames" w:hAnsi="XO Thames"/>
      <w:b/>
      <w:color w:val="000000"/>
      <w:spacing w:val="0"/>
      <w:sz w:val="28"/>
    </w:rPr>
  </w:style>
  <w:style w:type="character" w:styleId="Footnote1">
    <w:name w:val="Footnote1"/>
    <w:link w:val="Footnote11"/>
    <w:qFormat/>
    <w:rPr>
      <w:rFonts w:ascii="XO Thames" w:hAnsi="XO Thames"/>
      <w:color w:val="000000"/>
      <w:spacing w:val="0"/>
      <w:sz w:val="22"/>
    </w:rPr>
  </w:style>
  <w:style w:type="character" w:styleId="41">
    <w:name w:val="Стиль41"/>
    <w:link w:val="4111"/>
    <w:qFormat/>
    <w:rPr>
      <w:rFonts w:ascii="Times New Roman" w:hAnsi="Times New Roman"/>
      <w:b/>
      <w:color w:val="000000"/>
      <w:spacing w:val="0"/>
      <w:sz w:val="28"/>
    </w:rPr>
  </w:style>
  <w:style w:type="character" w:styleId="Style16">
    <w:name w:val="Комментарий"/>
    <w:basedOn w:val="120"/>
    <w:link w:val="25"/>
    <w:qFormat/>
    <w:rPr>
      <w:color w:val="353842"/>
      <w:shd w:fill="F0F0F0" w:val="clear"/>
    </w:rPr>
  </w:style>
  <w:style w:type="character" w:styleId="122">
    <w:name w:val="Верхний колонтитул Знак1"/>
    <w:link w:val="1127"/>
    <w:qFormat/>
    <w:rPr>
      <w:rFonts w:ascii="Arial" w:hAnsi="Arial"/>
      <w:color w:val="000000"/>
      <w:spacing w:val="0"/>
      <w:sz w:val="26"/>
    </w:rPr>
  </w:style>
  <w:style w:type="paragraph" w:styleId="123">
    <w:name w:val="Заголовок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widowControl/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124">
    <w:name w:val="Указатель1"/>
    <w:basedOn w:val="Normal"/>
    <w:qFormat/>
    <w:pPr>
      <w:suppressLineNumbers/>
    </w:pPr>
    <w:rPr>
      <w:rFonts w:ascii="PT Astra Serif" w:hAnsi="PT Astra Serif" w:cs="FreeSans"/>
    </w:rPr>
  </w:style>
  <w:style w:type="paragraph" w:styleId="125">
    <w:name w:val="Заголовок12"/>
    <w:basedOn w:val="Normal"/>
    <w:next w:val="BodyText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26">
    <w:name w:val="Указатель12"/>
    <w:basedOn w:val="Normal"/>
    <w:qFormat/>
    <w:pPr/>
    <w:rPr>
      <w:rFonts w:ascii="PT Astra Serif" w:hAnsi="PT Astra Serif"/>
    </w:rPr>
  </w:style>
  <w:style w:type="paragraph" w:styleId="1211">
    <w:name w:val="Заголовок121"/>
    <w:basedOn w:val="Normal"/>
    <w:next w:val="BodyText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212">
    <w:name w:val="Указатель121"/>
    <w:basedOn w:val="Normal"/>
    <w:qFormat/>
    <w:pPr/>
    <w:rPr>
      <w:rFonts w:ascii="PT Astra Serif" w:hAnsi="PT Astra Serif"/>
    </w:rPr>
  </w:style>
  <w:style w:type="paragraph" w:styleId="IndexHeading">
    <w:name w:val="index heading"/>
    <w:basedOn w:val="Normal"/>
    <w:pPr/>
    <w:rPr>
      <w:rFonts w:ascii="PT Astra Serif" w:hAnsi="PT Astra Serif"/>
    </w:rPr>
  </w:style>
  <w:style w:type="paragraph" w:styleId="HeaderandFooter31">
    <w:name w:val="Header and Footer31"/>
    <w:basedOn w:val="Normal"/>
    <w:link w:val="HeaderandFooter3"/>
    <w:qFormat/>
    <w:pPr/>
    <w:rPr/>
  </w:style>
  <w:style w:type="paragraph" w:styleId="1114">
    <w:name w:val="Стиль111"/>
    <w:link w:val="11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both"/>
    </w:pPr>
    <w:rPr>
      <w:rFonts w:ascii="Times New Roman" w:hAnsi="Times New Roman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91">
    <w:name w:val="Содержимое врезки91"/>
    <w:basedOn w:val="Normal"/>
    <w:link w:val="9"/>
    <w:qFormat/>
    <w:pPr/>
    <w:rPr/>
  </w:style>
  <w:style w:type="paragraph" w:styleId="BalloonText11">
    <w:name w:val="Balloon Text11"/>
    <w:basedOn w:val="Normal"/>
    <w:link w:val="BalloonText1"/>
    <w:qFormat/>
    <w:pPr/>
    <w:rPr>
      <w:rFonts w:ascii="Tahoma" w:hAnsi="Tahoma"/>
      <w:sz w:val="16"/>
    </w:rPr>
  </w:style>
  <w:style w:type="paragraph" w:styleId="1115">
    <w:name w:val="Цветовое выделение11"/>
    <w:link w:val="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b/>
      <w:color w:val="26282F"/>
      <w:spacing w:val="0"/>
      <w:kern w:val="0"/>
      <w:sz w:val="20"/>
      <w:szCs w:val="20"/>
      <w:lang w:val="ru-RU" w:eastAsia="zh-CN" w:bidi="hi-IN"/>
    </w:rPr>
  </w:style>
  <w:style w:type="paragraph" w:styleId="Heading111">
    <w:name w:val="Heading 111"/>
    <w:link w:val="Heading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b/>
      <w:color w:val="26282F"/>
      <w:spacing w:val="0"/>
      <w:kern w:val="0"/>
      <w:sz w:val="20"/>
      <w:szCs w:val="20"/>
      <w:lang w:val="ru-RU" w:eastAsia="zh-CN" w:bidi="hi-IN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stLabel12">
    <w:name w:val="ListLabel 1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106BBE"/>
      <w:spacing w:val="0"/>
      <w:kern w:val="0"/>
      <w:sz w:val="20"/>
      <w:szCs w:val="20"/>
      <w:lang w:val="ru-RU" w:eastAsia="zh-CN" w:bidi="hi-IN"/>
    </w:rPr>
  </w:style>
  <w:style w:type="paragraph" w:styleId="Heading211">
    <w:name w:val="Heading 211"/>
    <w:link w:val="Heading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311">
    <w:name w:val="Содержимое врезки31"/>
    <w:basedOn w:val="Normal"/>
    <w:link w:val="3"/>
    <w:qFormat/>
    <w:pPr/>
    <w:rPr/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stLabel2">
    <w:name w:val="ListLabel 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sPlusNormal11">
    <w:name w:val="ConsPlusNormal11"/>
    <w:link w:val="ConsPlusNormal1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WW8Num2z011">
    <w:name w:val="WW8Num2z011"/>
    <w:link w:val="WW8Num2z0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7">
    <w:name w:val="Колонтитулы1"/>
    <w:basedOn w:val="Normal"/>
    <w:link w:val="Style9"/>
    <w:qFormat/>
    <w:pPr/>
    <w:rPr/>
  </w:style>
  <w:style w:type="paragraph" w:styleId="Title11">
    <w:name w:val="Title11"/>
    <w:link w:val="Title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8">
    <w:name w:val="Комментарий12"/>
    <w:basedOn w:val="1126"/>
    <w:next w:val="Normal"/>
    <w:link w:val="12"/>
    <w:qFormat/>
    <w:pPr>
      <w:widowControl/>
      <w:spacing w:before="75" w:after="0"/>
      <w:ind w:right="0"/>
      <w:jc w:val="both"/>
    </w:pPr>
    <w:rPr>
      <w:color w:val="353842"/>
      <w:shd w:fill="F0F0F0" w:val="clear"/>
    </w:rPr>
  </w:style>
  <w:style w:type="paragraph" w:styleId="1116">
    <w:name w:val="Название111"/>
    <w:basedOn w:val="Normal"/>
    <w:link w:val="111"/>
    <w:qFormat/>
    <w:pPr>
      <w:widowControl/>
      <w:spacing w:before="120" w:after="120"/>
    </w:pPr>
    <w:rPr>
      <w:i/>
      <w:sz w:val="24"/>
    </w:rPr>
  </w:style>
  <w:style w:type="paragraph" w:styleId="1117">
    <w:name w:val="Комментарий111"/>
    <w:basedOn w:val="Normal"/>
    <w:link w:val="112"/>
    <w:qFormat/>
    <w:pPr/>
    <w:rPr/>
  </w:style>
  <w:style w:type="paragraph" w:styleId="Endnote2">
    <w:name w:val="Endnote2"/>
    <w:link w:val="End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71">
    <w:name w:val="Содержимое врезки71"/>
    <w:basedOn w:val="Normal"/>
    <w:link w:val="7"/>
    <w:qFormat/>
    <w:pPr/>
    <w:rPr/>
  </w:style>
  <w:style w:type="paragraph" w:styleId="212">
    <w:name w:val="Содержимое врезки21"/>
    <w:basedOn w:val="Normal"/>
    <w:link w:val="2"/>
    <w:qFormat/>
    <w:pPr/>
    <w:rPr/>
  </w:style>
  <w:style w:type="paragraph" w:styleId="HeaderandFooter8">
    <w:name w:val="Header and Footer8"/>
    <w:link w:val="HeaderandFooter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erandFooter9">
    <w:name w:val="Header and Footer9"/>
    <w:basedOn w:val="Normal"/>
    <w:qFormat/>
    <w:pPr/>
    <w:rPr/>
  </w:style>
  <w:style w:type="paragraph" w:styleId="HeaderandFooter10">
    <w:name w:val="Header and Footer10"/>
    <w:basedOn w:val="Normal"/>
    <w:qFormat/>
    <w:pPr/>
    <w:rPr/>
  </w:style>
  <w:style w:type="paragraph" w:styleId="Header">
    <w:name w:val="head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HeaderandFooter61">
    <w:name w:val="Header and Footer61"/>
    <w:basedOn w:val="Normal"/>
    <w:link w:val="HeaderandFooter6"/>
    <w:qFormat/>
    <w:pPr/>
    <w:rPr/>
  </w:style>
  <w:style w:type="paragraph" w:styleId="Contents82">
    <w:name w:val="Contents 82"/>
    <w:link w:val="Contents8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81">
    <w:name w:val="Содержимое врезки81"/>
    <w:basedOn w:val="Normal"/>
    <w:link w:val="8"/>
    <w:qFormat/>
    <w:pPr/>
    <w:rPr/>
  </w:style>
  <w:style w:type="paragraph" w:styleId="ListParagraph11">
    <w:name w:val="List Paragraph11"/>
    <w:basedOn w:val="Normal"/>
    <w:link w:val="ListParagraph1"/>
    <w:qFormat/>
    <w:pPr>
      <w:widowControl/>
      <w:spacing w:before="0" w:after="160"/>
      <w:ind w:hanging="0" w:left="720"/>
      <w:contextualSpacing/>
    </w:pPr>
    <w:rPr/>
  </w:style>
  <w:style w:type="paragraph" w:styleId="caption1111111111121">
    <w:name w:val="caption1111111111121"/>
    <w:basedOn w:val="Normal"/>
    <w:link w:val="caption111111111112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1118">
    <w:name w:val="Номер строки111"/>
    <w:basedOn w:val="2111"/>
    <w:link w:val="113"/>
    <w:qFormat/>
    <w:pPr/>
    <w:rPr/>
  </w:style>
  <w:style w:type="paragraph" w:styleId="Caption11">
    <w:name w:val="Caption11"/>
    <w:link w:val="Caption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Noto Serif CJK SC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caption11111111111121">
    <w:name w:val="caption11111111111121"/>
    <w:basedOn w:val="Normal"/>
    <w:link w:val="caption1111111111112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WW8Num1z611">
    <w:name w:val="WW8Num1z611"/>
    <w:link w:val="WW8Num1z6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2111">
    <w:name w:val="Основной шрифт абзаца211"/>
    <w:link w:val="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19">
    <w:name w:val="Цветовое выделение для Текст11"/>
    <w:link w:val="1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 CYR" w:hAnsi="Times New Roman CYR" w:eastAsia="Noto Serif CJK SC" w:cs="FreeSans"/>
      <w:color w:val="000000"/>
      <w:spacing w:val="0"/>
      <w:kern w:val="0"/>
      <w:sz w:val="24"/>
      <w:szCs w:val="20"/>
      <w:lang w:val="ru-RU" w:eastAsia="zh-CN" w:bidi="hi-IN"/>
    </w:rPr>
  </w:style>
  <w:style w:type="paragraph" w:styleId="11110">
    <w:name w:val="Обычный111"/>
    <w:link w:val="114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Arial" w:hAnsi="Arial" w:eastAsia="Noto Serif CJK SC" w:cs="FreeSans"/>
      <w:color w:val="000000"/>
      <w:spacing w:val="0"/>
      <w:kern w:val="0"/>
      <w:sz w:val="26"/>
      <w:szCs w:val="20"/>
      <w:lang w:val="ru-RU" w:eastAsia="zh-CN" w:bidi="hi-IN"/>
    </w:rPr>
  </w:style>
  <w:style w:type="paragraph" w:styleId="WW8Num1z411">
    <w:name w:val="WW8Num1z411"/>
    <w:link w:val="WW8Num1z4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111">
    <w:name w:val="Содержимое таблицы111"/>
    <w:basedOn w:val="Normal"/>
    <w:link w:val="115"/>
    <w:qFormat/>
    <w:pPr/>
    <w:rPr/>
  </w:style>
  <w:style w:type="paragraph" w:styleId="caption1131">
    <w:name w:val="caption1131"/>
    <w:basedOn w:val="Normal"/>
    <w:link w:val="caption113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10">
    <w:name w:val="Содержимое врезки1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erandFooter11">
    <w:name w:val="Header and Footer11"/>
    <w:basedOn w:val="Normal"/>
    <w:link w:val="HeaderandFooter1"/>
    <w:qFormat/>
    <w:pPr/>
    <w:rPr/>
  </w:style>
  <w:style w:type="paragraph" w:styleId="1120">
    <w:name w:val="Прижатый влево11"/>
    <w:basedOn w:val="Normal"/>
    <w:next w:val="Normal"/>
    <w:link w:val="14"/>
    <w:qFormat/>
    <w:pPr>
      <w:widowControl/>
      <w:ind w:hanging="0" w:left="0"/>
      <w:jc w:val="left"/>
    </w:pPr>
    <w:rPr/>
  </w:style>
  <w:style w:type="paragraph" w:styleId="caption121">
    <w:name w:val="caption121"/>
    <w:basedOn w:val="Normal"/>
    <w:link w:val="caption12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caption1111111121">
    <w:name w:val="caption1111111121"/>
    <w:basedOn w:val="Normal"/>
    <w:link w:val="caption111111112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1121">
    <w:name w:val="Текст выноски Знак11"/>
    <w:link w:val="15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ahoma" w:hAnsi="Tahoma" w:eastAsia="Noto Serif CJK SC" w:cs="FreeSans"/>
      <w:color w:val="000000"/>
      <w:spacing w:val="0"/>
      <w:kern w:val="0"/>
      <w:sz w:val="16"/>
      <w:szCs w:val="20"/>
      <w:lang w:val="ru-RU" w:eastAsia="zh-CN" w:bidi="hi-IN"/>
    </w:rPr>
  </w:style>
  <w:style w:type="paragraph" w:styleId="129">
    <w:name w:val="Содержимое врезки12"/>
    <w:basedOn w:val="Normal"/>
    <w:link w:val="16"/>
    <w:qFormat/>
    <w:pPr/>
    <w:rPr/>
  </w:style>
  <w:style w:type="paragraph" w:styleId="Contents12">
    <w:name w:val="Contents 12"/>
    <w:link w:val="Contents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1122">
    <w:name w:val="Гипертекстовая ссылка11"/>
    <w:link w:val="17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b/>
      <w:color w:val="106BBE"/>
      <w:spacing w:val="0"/>
      <w:kern w:val="0"/>
      <w:sz w:val="20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1z311">
    <w:name w:val="WW8Num1z311"/>
    <w:link w:val="WW8Num1z3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Subtitle11">
    <w:name w:val="Subtitle11"/>
    <w:link w:val="Subtitle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22">
    <w:name w:val="Contents 22"/>
    <w:link w:val="Contents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1111121">
    <w:name w:val="caption11111121"/>
    <w:basedOn w:val="Normal"/>
    <w:link w:val="caption1111112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HeaderandFooter71">
    <w:name w:val="Header and Footer71"/>
    <w:basedOn w:val="Normal"/>
    <w:link w:val="HeaderandFooter7"/>
    <w:qFormat/>
    <w:pPr/>
    <w:rPr/>
  </w:style>
  <w:style w:type="paragraph" w:styleId="1123">
    <w:name w:val="Символ нумерации11"/>
    <w:link w:val="18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Footer11">
    <w:name w:val="Footer11"/>
    <w:link w:val="Footer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er12">
    <w:name w:val="Header12"/>
    <w:link w:val="Header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z511">
    <w:name w:val="WW8Num1z511"/>
    <w:link w:val="WW8Num1z5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z211">
    <w:name w:val="WW8Num1z211"/>
    <w:link w:val="WW8Num1z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z811">
    <w:name w:val="WW8Num1z811"/>
    <w:link w:val="WW8Num1z8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caption111111111121">
    <w:name w:val="caption111111111121"/>
    <w:basedOn w:val="Normal"/>
    <w:link w:val="caption11111111112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List11">
    <w:name w:val="List11"/>
    <w:basedOn w:val="Textbody2"/>
    <w:link w:val="List1"/>
    <w:qFormat/>
    <w:pPr/>
    <w:rPr/>
  </w:style>
  <w:style w:type="paragraph" w:styleId="1210">
    <w:name w:val="Содержимое таблицы12"/>
    <w:basedOn w:val="Normal"/>
    <w:link w:val="19"/>
    <w:qFormat/>
    <w:pPr/>
    <w:rPr/>
  </w:style>
  <w:style w:type="paragraph" w:styleId="ListLabel6">
    <w:name w:val="ListLabel 6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106BBE"/>
      <w:spacing w:val="0"/>
      <w:kern w:val="0"/>
      <w:sz w:val="20"/>
      <w:szCs w:val="20"/>
      <w:lang w:val="ru-RU" w:eastAsia="zh-CN" w:bidi="hi-IN"/>
    </w:rPr>
  </w:style>
  <w:style w:type="paragraph" w:styleId="Contents52">
    <w:name w:val="Contents 52"/>
    <w:link w:val="Contents5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51">
    <w:name w:val="Содержимое врезки51"/>
    <w:basedOn w:val="Normal"/>
    <w:link w:val="5"/>
    <w:qFormat/>
    <w:pPr/>
    <w:rPr/>
  </w:style>
  <w:style w:type="paragraph" w:styleId="IndexHeading12">
    <w:name w:val="Index Heading12"/>
    <w:link w:val="IndexHeading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1">
    <w:name w:val="Internet link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Footnote2">
    <w:name w:val="Footnote2"/>
    <w:link w:val="Foot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22">
    <w:name w:val="Содержимое таблицы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23">
    <w:name w:val="Заголовок таблицы2"/>
    <w:basedOn w:val="22"/>
    <w:qFormat/>
    <w:pPr/>
    <w:rPr>
      <w:b/>
    </w:rPr>
  </w:style>
  <w:style w:type="paragraph" w:styleId="1124">
    <w:name w:val="Нормальный (таблица)11"/>
    <w:basedOn w:val="Normal"/>
    <w:next w:val="Normal"/>
    <w:link w:val="110"/>
    <w:qFormat/>
    <w:pPr>
      <w:widowControl/>
      <w:ind w:hanging="0" w:left="0"/>
    </w:pPr>
    <w:rPr/>
  </w:style>
  <w:style w:type="paragraph" w:styleId="Contents42">
    <w:name w:val="Contents 42"/>
    <w:link w:val="Contents4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92">
    <w:name w:val="Contents 92"/>
    <w:link w:val="Contents9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24">
    <w:name w:val="Символ нумерации2"/>
    <w:link w:val="Style14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Footer">
    <w:name w:val="foot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WW8Num1z011">
    <w:name w:val="WW8Num1z011"/>
    <w:link w:val="WW8Num1z0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2">
    <w:name w:val="Internet link2"/>
    <w:link w:val="Internetlink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1125">
    <w:name w:val="Нижний колонтитул Знак11"/>
    <w:link w:val="116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Arial" w:hAnsi="Arial" w:eastAsia="Noto Serif CJK SC" w:cs="FreeSans"/>
      <w:color w:val="000000"/>
      <w:spacing w:val="0"/>
      <w:kern w:val="0"/>
      <w:sz w:val="26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2">
    <w:name w:val="Text body2"/>
    <w:link w:val="Textbody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z711">
    <w:name w:val="WW8Num1z711"/>
    <w:link w:val="WW8Num1z7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112">
    <w:name w:val="Основной шрифт абзаца111"/>
    <w:link w:val="117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113">
    <w:name w:val="Заголовок111"/>
    <w:basedOn w:val="11110"/>
    <w:link w:val="118"/>
    <w:qFormat/>
    <w:pPr/>
    <w:rPr>
      <w:rFonts w:ascii="Arial" w:hAnsi="Arial"/>
      <w:color w:val="000000"/>
      <w:sz w:val="28"/>
    </w:rPr>
  </w:style>
  <w:style w:type="paragraph" w:styleId="Heading411">
    <w:name w:val="Heading 411"/>
    <w:link w:val="Heading4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11114">
    <w:name w:val="Содержимое врезки111"/>
    <w:basedOn w:val="Normal"/>
    <w:link w:val="119"/>
    <w:qFormat/>
    <w:pPr/>
    <w:rPr/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11111111111111">
    <w:name w:val="caption111111111111111"/>
    <w:basedOn w:val="Normal"/>
    <w:link w:val="caption11111111111111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2112">
    <w:name w:val="Стиль211"/>
    <w:link w:val="211"/>
    <w:qFormat/>
    <w:pPr>
      <w:widowControl w:val="false"/>
      <w:suppressAutoHyphens w:val="true"/>
      <w:bidi w:val="0"/>
      <w:spacing w:lineRule="auto" w:line="240" w:before="0" w:after="0"/>
      <w:ind w:firstLine="709" w:left="0" w:right="0"/>
      <w:jc w:val="both"/>
    </w:pPr>
    <w:rPr>
      <w:rFonts w:ascii="Times New Roman" w:hAnsi="Times New Roman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61">
    <w:name w:val="Содержимое врезки61"/>
    <w:basedOn w:val="Normal"/>
    <w:link w:val="6"/>
    <w:qFormat/>
    <w:pPr/>
    <w:rPr/>
  </w:style>
  <w:style w:type="paragraph" w:styleId="Heading512">
    <w:name w:val="Heading 512"/>
    <w:link w:val="Heading5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411">
    <w:name w:val="Содержимое врезки41"/>
    <w:basedOn w:val="Normal"/>
    <w:link w:val="4"/>
    <w:qFormat/>
    <w:pPr/>
    <w:rPr/>
  </w:style>
  <w:style w:type="paragraph" w:styleId="Contents32">
    <w:name w:val="Contents 32"/>
    <w:link w:val="Contents3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5">
    <w:name w:val="Заголовок 1 Знак11"/>
    <w:link w:val="111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Arial" w:hAnsi="Arial" w:eastAsia="Noto Serif CJK SC" w:cs="FreeSans"/>
      <w:b/>
      <w:color w:val="26282F"/>
      <w:spacing w:val="0"/>
      <w:kern w:val="0"/>
      <w:sz w:val="26"/>
      <w:szCs w:val="20"/>
      <w:lang w:val="ru-RU" w:eastAsia="zh-CN" w:bidi="hi-IN"/>
    </w:rPr>
  </w:style>
  <w:style w:type="paragraph" w:styleId="caption11121">
    <w:name w:val="caption11121"/>
    <w:basedOn w:val="Normal"/>
    <w:link w:val="caption1112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Endnote11">
    <w:name w:val="Endnote11"/>
    <w:link w:val="Endnote1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1126">
    <w:name w:val="Текст (справка)11"/>
    <w:basedOn w:val="Normal"/>
    <w:next w:val="Normal"/>
    <w:link w:val="120"/>
    <w:qFormat/>
    <w:pPr>
      <w:widowControl/>
      <w:ind w:hanging="0" w:left="170" w:right="170"/>
      <w:jc w:val="left"/>
    </w:pPr>
    <w:rPr/>
  </w:style>
  <w:style w:type="paragraph" w:styleId="HeaderandFooter51">
    <w:name w:val="Header and Footer51"/>
    <w:basedOn w:val="Normal"/>
    <w:link w:val="HeaderandFooter5"/>
    <w:qFormat/>
    <w:pPr/>
    <w:rPr/>
  </w:style>
  <w:style w:type="paragraph" w:styleId="Heading312">
    <w:name w:val="Heading 312"/>
    <w:link w:val="Heading3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62">
    <w:name w:val="Contents 62"/>
    <w:link w:val="Contents6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sPlusTitle11">
    <w:name w:val="ConsPlusTitle11"/>
    <w:link w:val="ConsPlusTitle1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1213">
    <w:name w:val="Заголовок таблицы12"/>
    <w:basedOn w:val="1210"/>
    <w:link w:val="121"/>
    <w:qFormat/>
    <w:pPr>
      <w:widowControl/>
      <w:jc w:val="center"/>
    </w:pPr>
    <w:rPr>
      <w:b/>
    </w:rPr>
  </w:style>
  <w:style w:type="paragraph" w:styleId="Contents72">
    <w:name w:val="Contents 72"/>
    <w:link w:val="Contents7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41">
    <w:name w:val="Header and Footer41"/>
    <w:basedOn w:val="Normal"/>
    <w:link w:val="HeaderandFooter4"/>
    <w:qFormat/>
    <w:pPr/>
    <w:rPr/>
  </w:style>
  <w:style w:type="paragraph" w:styleId="caption111121">
    <w:name w:val="caption111121"/>
    <w:basedOn w:val="Normal"/>
    <w:link w:val="caption11112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WW8Num1z111">
    <w:name w:val="WW8Num1z111"/>
    <w:link w:val="WW8Num1z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116">
    <w:name w:val="Гиперссылка111"/>
    <w:link w:val="1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80"/>
      <w:spacing w:val="0"/>
      <w:kern w:val="0"/>
      <w:sz w:val="20"/>
      <w:szCs w:val="20"/>
      <w:u w:val="single"/>
      <w:lang w:val="ru-RU" w:eastAsia="zh-CN" w:bidi="hi-IN"/>
    </w:rPr>
  </w:style>
  <w:style w:type="paragraph" w:styleId="11117">
    <w:name w:val="Указатель111"/>
    <w:basedOn w:val="Normal"/>
    <w:link w:val="1112"/>
    <w:qFormat/>
    <w:pPr/>
    <w:rPr/>
  </w:style>
  <w:style w:type="paragraph" w:styleId="caption11111111121">
    <w:name w:val="caption11111111121"/>
    <w:basedOn w:val="Normal"/>
    <w:link w:val="caption1111111112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caption1111121">
    <w:name w:val="caption1111121"/>
    <w:basedOn w:val="Normal"/>
    <w:link w:val="caption111112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caption111111121">
    <w:name w:val="caption111111121"/>
    <w:basedOn w:val="Normal"/>
    <w:link w:val="caption11111112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ListLabel15">
    <w:name w:val="ListLabel 15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106BBE"/>
      <w:spacing w:val="0"/>
      <w:kern w:val="0"/>
      <w:sz w:val="23"/>
      <w:szCs w:val="20"/>
      <w:lang w:val="ru-RU" w:eastAsia="zh-CN" w:bidi="hi-IN"/>
    </w:rPr>
  </w:style>
  <w:style w:type="paragraph" w:styleId="3111">
    <w:name w:val="Стиль311"/>
    <w:link w:val="31"/>
    <w:qFormat/>
    <w:pPr>
      <w:widowControl w:val="false"/>
      <w:suppressAutoHyphens w:val="true"/>
      <w:bidi w:val="0"/>
      <w:spacing w:lineRule="auto" w:line="240" w:before="0" w:after="0"/>
      <w:ind w:firstLine="709" w:left="0" w:right="0"/>
      <w:jc w:val="center"/>
    </w:pPr>
    <w:rPr>
      <w:rFonts w:ascii="Times New Roman" w:hAnsi="Times New Roman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21">
    <w:name w:val="Header and Footer21"/>
    <w:basedOn w:val="Normal"/>
    <w:link w:val="HeaderandFooter2"/>
    <w:qFormat/>
    <w:pPr/>
    <w:rPr/>
  </w:style>
  <w:style w:type="paragraph" w:styleId="Title">
    <w:name w:val="Title"/>
    <w:next w:val="BodyText"/>
    <w:uiPriority w:val="10"/>
    <w:qFormat/>
    <w:pPr>
      <w:widowControl/>
      <w:suppressAutoHyphens w:val="true"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Noto Serif CJK SC" w:cs="Free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DefaultParagraphFont11">
    <w:name w:val="Default Paragraph Font11"/>
    <w:link w:val="DefaultParagraphFont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118">
    <w:name w:val="Заголовок таблицы111"/>
    <w:basedOn w:val="11111"/>
    <w:link w:val="1113"/>
    <w:qFormat/>
    <w:pPr/>
    <w:rPr/>
  </w:style>
  <w:style w:type="paragraph" w:styleId="Footnote11">
    <w:name w:val="Footnote11"/>
    <w:link w:val="Footnote1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4111">
    <w:name w:val="Стиль411"/>
    <w:link w:val="41"/>
    <w:qFormat/>
    <w:pPr>
      <w:widowControl w:val="false"/>
      <w:suppressAutoHyphens w:val="true"/>
      <w:bidi w:val="0"/>
      <w:spacing w:lineRule="auto" w:line="240" w:before="0" w:after="0"/>
      <w:ind w:firstLine="709" w:left="0" w:right="0"/>
      <w:jc w:val="center"/>
    </w:pPr>
    <w:rPr>
      <w:rFonts w:ascii="Times New Roman" w:hAnsi="Times New Roman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25">
    <w:name w:val="Комментарий2"/>
    <w:basedOn w:val="1126"/>
    <w:link w:val="Style16"/>
    <w:qFormat/>
    <w:pPr/>
    <w:rPr>
      <w:color w:val="353842"/>
      <w:shd w:fill="F0F0F0" w:val="clear"/>
    </w:rPr>
  </w:style>
  <w:style w:type="paragraph" w:styleId="1127">
    <w:name w:val="Верхний колонтитул Знак11"/>
    <w:link w:val="12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Arial" w:hAnsi="Arial" w:eastAsia="Noto Serif CJK SC" w:cs="FreeSans"/>
      <w:color w:val="000000"/>
      <w:spacing w:val="0"/>
      <w:kern w:val="0"/>
      <w:sz w:val="26"/>
      <w:szCs w:val="20"/>
      <w:lang w:val="ru-RU" w:eastAsia="zh-CN" w:bidi="hi-IN"/>
    </w:rPr>
  </w:style>
  <w:style w:type="paragraph" w:styleId="101">
    <w:name w:val="Содержимое врезки101"/>
    <w:basedOn w:val="Normal"/>
    <w:qFormat/>
    <w:pPr/>
    <w:rPr/>
  </w:style>
  <w:style w:type="paragraph" w:styleId="213">
    <w:name w:val="Содержимое таблицы21"/>
    <w:basedOn w:val="Normal"/>
    <w:qFormat/>
    <w:pPr/>
    <w:rPr/>
  </w:style>
  <w:style w:type="paragraph" w:styleId="214">
    <w:name w:val="Заголовок таблицы21"/>
    <w:basedOn w:val="213"/>
    <w:qFormat/>
    <w:pPr/>
    <w:rPr/>
  </w:style>
  <w:style w:type="paragraph" w:styleId="131">
    <w:name w:val="Содержимое врезки13"/>
    <w:basedOn w:val="Normal"/>
    <w:qFormat/>
    <w:pPr/>
    <w:rPr/>
  </w:style>
  <w:style w:type="table" w:default="1" w:styleId="Style_3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ivo.garant.ru/document?id=23800500&amp;sub=883" TargetMode="External"/><Relationship Id="rId3" Type="http://schemas.openxmlformats.org/officeDocument/2006/relationships/hyperlink" Target="https://internet.garant.ru/document/redirect/408992634/0" TargetMode="External"/><Relationship Id="rId4" Type="http://schemas.openxmlformats.org/officeDocument/2006/relationships/hyperlink" Target="https://internet.garant.ru/document/redirect/43693362/0" TargetMode="External"/><Relationship Id="rId5" Type="http://schemas.openxmlformats.org/officeDocument/2006/relationships/hyperlink" Target="https://sevadm.ru/epg/" TargetMode="External"/><Relationship Id="rId6" Type="http://schemas.openxmlformats.org/officeDocument/2006/relationships/hyperlink" Target="https://internet.garant.ru/document/redirect/408992634/0" TargetMode="External"/><Relationship Id="rId7" Type="http://schemas.openxmlformats.org/officeDocument/2006/relationships/hyperlink" Target="https://internet.garant.ru/document/redirect/408992634/0" TargetMode="External"/><Relationship Id="rId8" Type="http://schemas.openxmlformats.org/officeDocument/2006/relationships/hyperlink" Target="https://internet.garant.ru/document/redirect/408992634/0" TargetMode="External"/><Relationship Id="rId9" Type="http://schemas.openxmlformats.org/officeDocument/2006/relationships/hyperlink" Target="https://internet.garant.ru/document/redirect/408992634/0" TargetMode="External"/><Relationship Id="rId10" Type="http://schemas.openxmlformats.org/officeDocument/2006/relationships/hyperlink" Target="https://internet.garant.ru/document/redirect/408992634/0" TargetMode="External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header" Target="header3.xm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Application>LibreOffice/25.2.3.2$Linux_X86_64 LibreOffice_project/520$Build-2</Application>
  <AppVersion>15.0000</AppVersion>
  <Pages>33</Pages>
  <Words>5283</Words>
  <Characters>39212</Characters>
  <CharactersWithSpaces>43688</CharactersWithSpaces>
  <Paragraphs>864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2026-08-13T10:10:24Z</dcterms:created>
  <dc:creator/>
  <dc:description/>
  <dc:language>ru-RU</dc:language>
  <cp:lastModifiedBy/>
  <cp:lastPrinted>2026-08-20T12:22:38Z</cp:lastPrinted>
  <dcterms:modified xsi:type="dcterms:W3CDTF">2026-08-20T12:27:59Z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